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https://www.autoritedelaconcurrence.fr/fr/decision-de-controle-des-concentrations/relative-la-prise-de-controle-conjoint-des-societes-27</w:t>
      </w:r>
    </w:p>
    <w:p>
      <w:r>
        <w:t>Pages translated : 2</w:t>
      </w:r>
    </w:p>
    <w:p/>
    <w:p>
      <w:r>
        <w:rPr>
          <w:b/>
        </w:rPr>
        <w:t>[Pages 1–2]</w:t>
      </w:r>
    </w:p>
    <w:p>
      <w:r>
        <w:t xml:space="preserve">FRENCH REPUBLIC  </w:t>
        <w:br/>
        <w:t xml:space="preserve">Decision No. 25-DCC-145 of June 23, 2025  </w:t>
        <w:br/>
        <w:t xml:space="preserve">regarding the joint control acquisition of companies Calao 248, Calao 266, and Calao 244 by companies Regular, Saravin, and ITM Entreprises  </w:t>
        <w:br/>
        <w:t xml:space="preserve">The Competition Authority,  </w:t>
        <w:br/>
        <w:t xml:space="preserve">Having regard to the complete notification file submitted to the mergers department on May 16, 2025, concerning the joint control acquisition of companies Calao 248, Calao 266, and Calao 244 by companies Regular, Savarin, and ITM Entreprises formalized by a share acquisition promise signed on May 15,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companies Regular and Saravin of almost all the shares, with company ITM Entreprises retaining one preferred share, of companies Calao 248, Calao 266, and Calao 244. Company Calao 248 has the purpose of operating a retail business predominantly in food under the Intermarché brand (formerly Casino) with a sales area of 2,885 m² in the city of Saint-Priest-en-Jarez (42). Company Calao 266 has the purpose of operating a fuel distribution business, ancillary to the business of company Calao 248, in the same city. Company Calao 244 has the purpose of operating a retail business predominantly in food under the Intermarché brand (formerly Casino) with a sales area of 2,048 m² in the city of Saint-Etienne (42).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25-133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