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https://www.autoritedelaconcurrence.fr/fr/decision-de-controle-des-concentrations/relative-la-prise-de-controle-conjoint-des-societes-29</w:t>
      </w:r>
    </w:p>
    <w:p>
      <w:r>
        <w:t>Pages translated : 2</w:t>
      </w:r>
    </w:p>
    <w:p/>
    <w:p>
      <w:r>
        <w:rPr>
          <w:b/>
        </w:rPr>
        <w:t>[Pages 1–2]</w:t>
      </w:r>
    </w:p>
    <w:p>
      <w:r>
        <w:t xml:space="preserve">FRENCH REPUBLIC  </w:t>
        <w:br/>
        <w:t xml:space="preserve">Decision No. 25-DCC-151 of June 27, 2025  </w:t>
        <w:br/>
        <w:t xml:space="preserve">regarding the joint control acquisition of companies Calao 137, Calao 138, and Calao 136  </w:t>
        <w:br/>
        <w:t xml:space="preserve">by companies Alcoja, Jujefa, and ITM Entreprises  </w:t>
        <w:br/>
        <w:t>The Competition Authority,</w:t>
      </w:r>
    </w:p>
    <w:p>
      <w:r>
        <w:t>Having regard to the complete notification file submitted to the mergers department on May 30, 2025, concerning the joint control acquisition of companies Calao 137, Calao 138, and Calao 136 by companies Alcoja, Jujefa, and ITM Entreprises formalized by three share acquisition promises signed on May 28, 2025;</w:t>
      </w:r>
    </w:p>
    <w:p>
      <w:r>
        <w:t>Having regard to Book IV of the Commercial Code relating to the freedom of prices and competition, and in particular its Articles L. 430-1 to L. 430-7;</w:t>
      </w:r>
    </w:p>
    <w:p>
      <w:r>
        <w:t xml:space="preserve">Adopts the following decision:  </w:t>
        <w:br/>
        <w:t xml:space="preserve">1. The notified operation consists of the acquisition by companies Alcoja and Jujefa of the quasi-totality of the shares, with company ITM Entreprises retaining one preferred share, of companies Calao 137, Calao 138, and Calao 136. Company Calao 137 has as its object the operation of a retail business predominantly focused on food under the Intermarché brand (formerly Casino) with a sales area of 1,551 m² in the city of Annecy (74). Company Calao 138 has as its object the operation of a retail business predominantly focused on food under the Intermarché brand (formerly Casino) with a sales area of 1,082 m², in the same city. Company Calao 136 has as its object the operation of a retail business predominantly focused on food under the Intermarché brand (formerly Casino) with a sales area of 1,410 m² in the same city. This operation constitutes a concentration within the meaning of Article L. 430-1 of the Commercial Code. Given the revenues generated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25-145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