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https://www.autoritedelaconcurrence.fr/fr/decision-de-controle-des-concentrations/relative-la-prise-de-controle-conjoint-des-societes-3</w:t>
      </w:r>
    </w:p>
    <w:p>
      <w:r>
        <w:t>Pages translated : 2</w:t>
      </w:r>
    </w:p>
    <w:p/>
    <w:p>
      <w:r>
        <w:rPr>
          <w:b/>
        </w:rPr>
        <w:t>[Pages 1–2]</w:t>
      </w:r>
    </w:p>
    <w:p>
      <w:r>
        <w:t xml:space="preserve">FRENCH REPUBLIC  </w:t>
        <w:br/>
        <w:t xml:space="preserve">Decision No. 15-DCC-176 of December 15, 2015  </w:t>
        <w:br/>
        <w:t xml:space="preserve">regarding the joint control acquisition of the companies Sodiparc and Dourdis  </w:t>
        <w:br/>
        <w:t xml:space="preserve">by the Dumont consortium and the company ITM Entreprises  </w:t>
        <w:br/>
        <w:t>The Competition Authority,</w:t>
      </w:r>
    </w:p>
    <w:p>
      <w:r>
        <w:t>Having regard to the complete notification file submitted to the mergers department on November 20, 2015, concerning the joint control acquisition of the companies Sodiparc and Dourdis by the Dumont consortium and the company ITM Entreprises, formalized by two pre-contractual agreements dated November 17, 2015;</w:t>
      </w:r>
    </w:p>
    <w:p>
      <w:r>
        <w:t>Having regard to Book IV of the Commercial Code relating to the freedom of prices and competition, and in particular its Articles L. 430-1 to L. 430-7;</w:t>
      </w:r>
    </w:p>
    <w:p>
      <w:r>
        <w:t xml:space="preserve">Adopts the following decision:  </w:t>
        <w:br/>
        <w:t xml:space="preserve">1. The notified operation consists of the joint control acquisition of the companies Sodiparc and Dourdis, which each operate a retail business predominantly focused on food distribution, respectively under the brands Intermarché and Netto, in the city of Dourdan (91), by ITM Entreprises and the Dumont consortium, which themselves operate, via the companies Egly Distribution and Cemici, two retail businesses predominantly focused on food distribution, under the brands Intermarché and Netto located in Egly (91) and Breuillet (91). This operation constitutes a concentration within the meaning of Article L. 430-1 of the Commercial Code. Given the revenues generated by the companies involved, the operation does not fall under the jurisdiction of the European Union. However, the thresholds for control related to retail trade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15-214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