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https://www.autoritedelaconcurrence.fr/fr/decision-de-controle-des-concentrations/relative-la-prise-de-controle-conjoint-des-societes-32</w:t>
      </w:r>
    </w:p>
    <w:p>
      <w:r>
        <w:t>Pages translated : 2</w:t>
      </w:r>
    </w:p>
    <w:p/>
    <w:p>
      <w:r>
        <w:rPr>
          <w:b/>
        </w:rPr>
        <w:t>[Pages 1–2]</w:t>
      </w:r>
    </w:p>
    <w:p>
      <w:r>
        <w:t xml:space="preserve">FRENCH REPUBLIC  </w:t>
        <w:br/>
        <w:t xml:space="preserve">Decision No. 25-DCC-231 of October 9, 2025  </w:t>
        <w:br/>
        <w:t xml:space="preserve">regarding the joint control acquisition of companies Greece 133 and Greece 49 by companies TDK Finances and ITM Entreprises  </w:t>
        <w:br/>
        <w:t xml:space="preserve">The Competition Authority,  </w:t>
        <w:br/>
        <w:t xml:space="preserve">Having regard to the complete notification file submitted to the mergers department on September 16, 2025, concerning the joint control acquisition of companies Greece 143 and Greece 49 by companies TDK Finances and ITM Entreprises, formalized by a share acquisition promise signed on September 9,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TDK Finances of almost all the shares, with the company ITM Entreprises retaining one preferred share, of companies Greece 133 and Greece 49. The company Greece 133 has as its object the operation of a retail business primarily focused on food under the Intermarché brand (formerly Casino) with a sales area of 7,936 m² in the city of Montpellier (34). The company Greece 49 has as its object the operation of a fuel distribution business linked to the business operated by company Greece 133. Given the revenues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25-239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