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https://www.autoritedelaconcurrence.fr/fr/decision-de-controle-des-concentrations/relative-la-prise-de-controle-conjoint-des-societes-34</w:t>
      </w:r>
    </w:p>
    <w:p>
      <w:r>
        <w:t>Pages translated : 2</w:t>
      </w:r>
    </w:p>
    <w:p/>
    <w:p>
      <w:r>
        <w:rPr>
          <w:b/>
        </w:rPr>
        <w:t>[Pages 1–2]</w:t>
      </w:r>
    </w:p>
    <w:p>
      <w:r>
        <w:t>FRENCH REPUBLIC</w:t>
        <w:br/>
        <w:t>Decision No. 25-DCC-323 of December 15, 2025</w:t>
        <w:br/>
        <w:t>regarding the joint control acquisition of companies Greece 116 and Greece 159 by companies Laudrine and ITM Entreprises</w:t>
        <w:br/>
        <w:t>The Competition Authority,</w:t>
        <w:br/>
        <w:t>Having regard to the complete notification file sent to the mergers department on November 28, 2025, concerning the joint control acquisition of companies Greece 116 and Greece 159 by companies Laudrine and ITM Entreprises, formalized by a share acquisition promise signed on November 27, 2025;</w:t>
        <w:br/>
        <w:t>Having regard to Book IV of the Commercial Code relating to the freedom of prices and competition, and in particular its Articles L. 430-1 to L. 430-7;</w:t>
        <w:br/>
        <w:t>Adopts the following decision:</w:t>
        <w:br/>
        <w:t>1. The notified operation consists of the acquisition by the company Laudrine of almost all the shares, with the company ITM Entreprises retaining one preferred share, of companies Greece 116 and Greece 159. The company Greece 116 has the purpose of operating a retail business primarily focused on food under the Intermarché brand (formerly Casino) with a sales area of 2,700 m² in the city of La Colombe (50). The company Greece 159 has the purpose of operating a fuel distribution business linked to the business operated by company Greece 116.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25-341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