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https://www.autoritedelaconcurrence.fr/fr/decision-de-controle-des-concentrations/relative-la-prise-de-controle-conjoint-des-societes-35</w:t>
      </w:r>
    </w:p>
    <w:p>
      <w:r>
        <w:t>Pages translated : 2</w:t>
      </w:r>
    </w:p>
    <w:p/>
    <w:p>
      <w:r>
        <w:rPr>
          <w:b/>
        </w:rPr>
        <w:t>[Pages 1–2]</w:t>
      </w:r>
    </w:p>
    <w:p>
      <w:r>
        <w:t xml:space="preserve">FRENCH REPUBLIC  </w:t>
        <w:br/>
        <w:t xml:space="preserve">Decision No. 26-DCC-76 of March 24, 2026  </w:t>
        <w:br/>
        <w:t xml:space="preserve">regarding the joint control acquisition of companies Calao 215, Calao 229, and Calao 260 by companies 3AM Invest and ITM Entreprises  </w:t>
        <w:br/>
        <w:t xml:space="preserve">The Competition Authority,  </w:t>
        <w:br/>
        <w:t xml:space="preserve">Having regard to the complete notification file submitted to the mergers department on March 6, 2026, concerning the joint control acquisition of companies Calao 215, Calao 229, and Calao 260 by companies 3AM Invest and ITM Entreprises formalized by a share acquisition promise signed on December 30, 2025;  </w:t>
        <w:br/>
        <w:t xml:space="preserve">Having regard to Book IV of the Commercial Code relating to the freedom of prices and competition, and in particular its Articles L. 430-1 to L. 430-7;  </w:t>
        <w:br/>
        <w:t xml:space="preserve">Having regard to the additional elements provided by the notifying party during the investigation;  </w:t>
        <w:br/>
        <w:t xml:space="preserve">Adopts the following decision:  </w:t>
        <w:br/>
        <w:t xml:space="preserve">1. The notified operation consists of the acquisition by company 3AM Invest of almost all the shares, with company ITM Entreprises retaining one preferred share, of companies Calao 215, Calao 229, and Calao 260. Company Calao 215 has as its object the operation of a retail business predominantly selling food under the Intermarché brand (formerly Casino) with a sales area of 1,586 m² in the city of Bron (69). Company Calao 229 has as its object the operation of a retail business predominantly selling food under the Intermarché brand (formerly Casino) with a sales area of 1,990 m² in the city of Lyon (69). Company Calao 260 has as its object the operation of a fuel distribution business, ancillary to the business of company Calao 215, in the same city. This operation constitutes a concentration within the meaning of Article L. 430-1 of the Commercial Code.  </w:t>
        <w:br/>
        <w:t>2. Given the turnover achieved by the companies concerned, the operation does not fall under the jurisdiction of the European Union. However, the control thresholds mentioned in II of Article L. 430-2 of the Commercial Code are exceeded. The present operation is therefore subject to the provisions of Articles L. 430-3 and following of the Commercial Code relating to economic concentration.</w:t>
      </w:r>
    </w:p>
    <w:p>
      <w:r>
        <w:t xml:space="preserve">DECIDES  </w:t>
        <w:br/>
        <w:t xml:space="preserve">Sole Article: The operation notified under number 26-058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