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https://www.autoritedelaconcurrence.fr/fr/decision-de-controle-des-concentrations/relative-la-prise-de-controle-conjoint-des-societes-6</w:t>
      </w:r>
    </w:p>
    <w:p>
      <w:r>
        <w:t>Pages translated : 6</w:t>
      </w:r>
    </w:p>
    <w:p/>
    <w:p>
      <w:r>
        <w:rPr>
          <w:b/>
        </w:rPr>
        <w:t>[Pages 1–3]</w:t>
      </w:r>
    </w:p>
    <w:p>
      <w:r>
        <w:t xml:space="preserve">FRENCH REPUBLIC  </w:t>
        <w:br/>
        <w:t xml:space="preserve">Decision No. 19-DCC-136 of July 23, 2019  </w:t>
        <w:br/>
        <w:t xml:space="preserve">regarding the joint control of the companies Mauboussin and  </w:t>
        <w:br/>
        <w:t xml:space="preserve">Guérin Joaillerie by the Galeries Lafayette group and the company La  </w:t>
        <w:br/>
        <w:t>Compagnie Financière Nemarq &amp; Co</w:t>
      </w:r>
    </w:p>
    <w:p>
      <w:r>
        <w:t xml:space="preserve">The Competition Authority,  </w:t>
        <w:br/>
        <w:t xml:space="preserve">Having regard to the notification file submitted in full to the merger service on June 21, 2019,  </w:t>
        <w:br/>
        <w:t xml:space="preserve">regarding the joint control of the companies Mauboussin and Guérin Joaillerie by the  </w:t>
        <w:br/>
        <w:t xml:space="preserve">companies Union Pour Les Investissements Commerciaux (hereinafter "UPLIC") and La Compagnie  </w:t>
        <w:br/>
        <w:t xml:space="preserve">Financière Nemarq &amp; Co (hereinafter "CFN"), formalized by a protocol agreement of […] ;  </w:t>
        <w:br/>
        <w:t xml:space="preserve">Having regard to Book IV of the Commercial Code relating to the freedom of prices and competition, and  </w:t>
        <w:br/>
        <w:t xml:space="preserve">notably its Articles L. 430-1 to L. 430-7 ;  </w:t>
        <w:br/>
        <w:t xml:space="preserve">Having regard to the supplementary elements transmitted by the notifying parties during the investigation ;  </w:t>
        <w:br/>
        <w:t>Adopts the following decision :</w:t>
      </w:r>
    </w:p>
    <w:p>
      <w:r>
        <w:t xml:space="preserve">I. The concerned companies and the operation  </w:t>
        <w:br/>
        <w:t xml:space="preserve">1. UPLIC is a subsidiary of […] % of the Galeries Lafayette group, which is owned at […] % by the company Motier. The Galeries Lafayette group is active in the sectors of fashion, luxury, beauty, leisure, and home distribution in France. It operates the generalist brands Galeries Lafayette and BHV/Marais and those of jewelry or watchmaking Louis Pion, Guérin Joaillerie, Royal Quartz, *, as well as Mille et Une Listes, Eataly Paris Marais, Bazarchic, and La Redoute through numerous stores and e-commerce websites. The Galeries Lafayette group also offers tour operator and travel agency services through Galeries Lafayette Voyages.  </w:t>
        <w:br/>
        <w:t>* Correction of a material error.</w:t>
      </w:r>
    </w:p>
    <w:p>
      <w:r>
        <w:t xml:space="preserve">2. CFN is a holding company controlled by Mr. Alain Nemarq, the current Chairman and CEO of Mauboussin. It is active in the brokerage of securities and commodities. CFN holds, directly and indirectly via the company Patrim, […] % of the capital and voting rights of Mauboussin.  </w:t>
        <w:br/>
        <w:t xml:space="preserve">3. The company Mauboussin (hereinafter "Mauboussin") specializes in the retail distribution of jewelry, fine jewelry, and, to a lesser extent, in watches, perfumes, leather goods, and eyewear. It is owned […] % by DPF Holding, […] % by CFN, and […] % by the company Delorme Fremeau Mauboussin. It operates a network of 45 own stores, 10 commission-affiliated stores, 22 corners, 4 "shop in shop"1 and the e-commerce website mauboussin.fr. It also has a wholesale supply activity for multi-brand retailers and the marketing of unsold items to clearance sellers such as Vente-Privée and Showroomprivé.  </w:t>
        <w:br/>
        <w:t xml:space="preserve">4. The company Guérin Joaillerie (hereinafter "Guérin Joaillerie") specializes in the retail distribution of jewelry items. It is exclusively owned by the Galeries Lafayette group via UPLIC. It operates 18 corners within the Galeries Lafayette group stores and 21 boutiques, as well as the e-commerce site www.guerin.com.  </w:t>
        <w:br/>
        <w:t xml:space="preserve">5. The notified operation consists of the acquisition, by UPLIC and CFN, of all the capital and voting rights of Mauboussin, via an acquisition vehicle and, subsequently, the transfer of all the shares of Guérin Joaillerie, exclusively owned by the Galeries Lafayette group, to the same acquisition vehicle. Insofar as the acquisition of the shares of Mauboussin and the transfer of all the shares of Guérin Joaillerie form an indivisible whole and that this double acquisition, organized in a short timeframe by the parties, pursues the same economic objective, it constitutes a single concentration within the meaning of Article L. 430-1 of the Commercial Code.  </w:t>
        <w:br/>
        <w:t xml:space="preserve">6. The concerned companies together achieve a total turnover excluding taxes on a global scale of more than 150 million euros (Galeries Lafayette group: approximately [≥ 150 million] euros for the fiscal year ending December 31, 2018; CFN: [≤ 150 million] euros for the same fiscal year; Mauboussin: [≤ 150 million] euros for the same fiscal year; Guérin Joaillerie: [≤ 150 million] euros for the same fiscal year). Two of these concerned companies have achieved a turnover in France exceeding 50 million euros (Galeries Lafayette group: approximately [≥ 50 million] euros for the fiscal year ending December 31, 2018; Mauboussin: [≥ 50 million] euros for the same fiscal year). Given these turnover figures,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1 These are brand spaces, sometimes significant, located within another store.</w:t>
      </w:r>
    </w:p>
    <w:p>
      <w:r>
        <w:t xml:space="preserve">II. Delimitation of Relevant Markets  </w:t>
        <w:br/>
        <w:t xml:space="preserve">7. The Galeries Lafayette/Guérin Joaillerie group and Mauboussin are simultaneously active in the retail sector of watchmaking, jewelry, fine jewelry, and goldsmithing items (hereinafter "HBJO").  </w:t>
        <w:br/>
        <w:t xml:space="preserve">8. Marginally, the parties are also active in the markets for the supply and retail sale of clearance products, leather goods, perfumes and cosmetics, as well as eyewear. Given the marginal overlap of the parties' activities (less than two points) in each of these markets and the low market shares in absolute value, any risk of harm to competition through horizontal effects can be immediately ruled out2.  </w:t>
        <w:br/>
        <w:t xml:space="preserve">A. THE JEWELRY SUPPLY MARKET  </w:t>
        <w:br/>
        <w:t xml:space="preserve">9. Regarding the delimitation of product markets, the Authority considered the existence of a single market for the supply of jewelry including both HBJO items and costume jewelry, while leaving the question open3.  </w:t>
        <w:br/>
        <w:t xml:space="preserve">10. Regarding the delimitation of geographical markets, the Authority retained a national dimension4.  </w:t>
        <w:br/>
        <w:t xml:space="preserve">11. In this case, it is not necessary to resolve the question of the exact definition of these markets, as the conclusions of the competitive analysis remain unchanged, regardless of the delimitations retained.  </w:t>
        <w:br/>
        <w:t xml:space="preserve">B. THE RETAIL MARKETS FOR JEWELRY  </w:t>
        <w:br/>
        <w:t xml:space="preserve">a) Product Markets  </w:t>
        <w:br/>
        <w:t xml:space="preserve">12. Regarding the retail distribution of HBJO products, the Authority distinguished the markets of (i) small volume watchmaking (watches and movements), (ii) precious jewelry (jewelry in precious metals, set or unset) and (iii) non-precious jewelry (jewelry plated with precious metal or made of an alloy incorporating precious metals)5. Costume jewelry, which does not  </w:t>
        <w:br/>
        <w:t xml:space="preserve">2 Guidelines on the control of concentrations, point 398.  </w:t>
        <w:br/>
        <w:t xml:space="preserve">3 Decisions No. 10-DCC-140 and No. 12-DCC-134 cited above.  </w:t>
        <w:br/>
        <w:t xml:space="preserve">4 Id.  </w:t>
        <w:br/>
        <w:t>5 Letters from the Minister of Economy dated July 31, 2002, regarding the merger between Guilde des Orfèvres and Bijoutiers de France and C2005-65 of August 22, 2005, regarding the advice of the Douglas group, concerning a concentration in the perfume and cosmetics sector and decisions of the Authority No. 10-DCC-140 of October 13, 2010, regarding the exclusive control of the companies Histoire d’Or Europe SAS and Financière MO Holding SAS by Bridgepoint Capital Group Limited, No. 12-DCC-98 of July 20, 2012, regarding the exclusive control of the companies Financière TWLC, Swiss Fashion Time, PT Switzerland, PE Time Design, Swiss Watch Group FZCO, Fortune Concept Limited and PT Far</w:t>
      </w:r>
    </w:p>
    <w:p>
      <w:r>
        <w:rPr>
          <w:b/>
        </w:rPr>
        <w:t>[Pages 4–6]</w:t>
      </w:r>
    </w:p>
    <w:p>
      <w:r>
        <w:t>containing neither precious metals nor precious or semi-precious stones, belong to a distinct market.</w:t>
      </w:r>
    </w:p>
    <w:p>
      <w:r>
        <w:t>13. High jewelry products, sold by companies traditionally designated under the generic name "Place Vendôme," are also excluded, notably due to their particularly high sale price.</w:t>
      </w:r>
    </w:p>
    <w:p>
      <w:r>
        <w:t>14. Furthermore, the Authority considered the existence of a segmentation in the retail market for small volume watch products, by price level, distinguishing the retail sale of mid-range watches. In this regard, the Authority considered that so-called "luxury" watches, priced above 3,000 euros, do not belong to the HBJO market but to that of high jewelry.</w:t>
      </w:r>
    </w:p>
    <w:p>
      <w:r>
        <w:t>15. Regarding the distribution channels of HBJO products, the Authority considered that city jewelers, shopping center jewelers, corners, hypermarkets, and department stores are in competition, given the similarities that exist between these different sales formats, in terms of jewelry assortment, price ranges, store layout, and supply.</w:t>
      </w:r>
    </w:p>
    <w:p>
      <w:r>
        <w:t>16. There is no need to revisit this decision-making practice in the context of the present investigation.</w:t>
      </w:r>
    </w:p>
    <w:p>
      <w:r>
        <w:t>b) Geographic Markets</w:t>
      </w:r>
    </w:p>
    <w:p>
      <w:r>
        <w:t>17. Regarding retail distribution markets, competition occurs at the local level, in catchment areas defined based on the attractiveness of the points of sale for consumers.</w:t>
      </w:r>
    </w:p>
    <w:p>
      <w:r>
        <w:t>18. In this case, the analysis will be conducted at the level of city centers where the parties' activities overlap, as well as in catchment areas corresponding to driving distances of 20 and 30 minutes from the points of sale of the target companies when they are located in a shopping center.</w:t>
      </w:r>
    </w:p>
    <w:p>
      <w:r>
        <w:t>III. Competitive Analysis</w:t>
      </w:r>
    </w:p>
    <w:p>
      <w:r>
        <w:t>A. THE JEWELRY SUPPLY MARKET</w:t>
      </w:r>
    </w:p>
    <w:p>
      <w:r>
        <w:t>19. The combined market share of the parties is estimated at [10-20]% at the national level ([0-5]% for Mauboussin and [5-10]% for Galeries Lafayette/Guérin Joaillerie). Furthermore, the parties do not have a common supplier among their five largest suppliers of jewelry items.</w:t>
      </w:r>
    </w:p>
    <w:p>
      <w:r>
        <w:t>20. Therefore, the operation is not likely to harm competition in the jewelry supply market.</w:t>
      </w:r>
    </w:p>
    <w:p>
      <w:r>
        <w:t>B. ON THE RETAIL MARKET FOR JEWELRY</w:t>
      </w:r>
    </w:p>
    <w:p>
      <w:r>
        <w:t>21. At the national level, the parties represent [20-30]% of jewelry sales in stores in France. The new entity will continue to face competition from large groups of national brands, foremost among them Thom Europe ("Marc Orian," "Histoire d’Or," "J’M," "Trésor") and Synalia ("Julien d’Orcel," "Guilde des Orfèvres," "Mégalithes").</w:t>
      </w:r>
    </w:p>
    <w:p>
      <w:r>
        <w:t>22. At the local level, the parties' activities overlap in 44 catchment areas, of which 9 are located in shopping centers and 35 in city centers.</w:t>
      </w:r>
    </w:p>
    <w:p>
      <w:r>
        <w:t>23. Regardless of the catchment area examined, the parties will hold less than 40% of jewelry retail stores. In each of these areas, consumers have numerous alternatives consisting of several brands from national groups and local jewelers. Thus, in each of these areas, the parties will face competition from 4 to 84 points of sale.</w:t>
      </w:r>
    </w:p>
    <w:p>
      <w:r>
        <w:t>24. Therefore, the operation is not likely to harm competition in the HBJO products market.</w:t>
      </w:r>
    </w:p>
    <w:p>
      <w:r>
        <w:t>DECIDES</w:t>
      </w:r>
    </w:p>
    <w:p>
      <w:r>
        <w:t>Sole Article: The operation notified under number 19-143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