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https://www.autoritedelaconcurrence.fr/fr/decision-de-controle-des-concentrations/relative-la-prise-de-controle-conjoint-des-societes-9</w:t>
      </w:r>
    </w:p>
    <w:p>
      <w:r>
        <w:t>Pages translated : 2</w:t>
      </w:r>
    </w:p>
    <w:p/>
    <w:p>
      <w:r>
        <w:rPr>
          <w:b/>
        </w:rPr>
        <w:t>[Pages 1–2]</w:t>
      </w:r>
    </w:p>
    <w:p>
      <w:r>
        <w:t xml:space="preserve">FRENCH REPUBLIC  </w:t>
        <w:br/>
        <w:t xml:space="preserve">Decision No. 22-DCC-21 of February 24, 2022  </w:t>
        <w:br/>
        <w:t xml:space="preserve">regarding the joint control acquisition of the companies Nobladis and Sodirev  </w:t>
        <w:br/>
        <w:t xml:space="preserve">by the company Socamil alongside the Association of E. Leclerc Distributor Centers  </w:t>
        <w:br/>
        <w:t xml:space="preserve">The Competition Authority,  </w:t>
        <w:br/>
        <w:t xml:space="preserve">Having regard to the complete notification file sent to the mergers department on February 8, 2022,  </w:t>
        <w:br/>
        <w:t xml:space="preserve">concerning the joint control acquisition of the companies Nobladis and Sodirev, subsidiaries of the companies HBC 31 and HSO 31, by the company Socamil alongside the Association of E. Leclerc Distributor Centers, formalized by two share transfer agreements dated January 12, 2022;  </w:t>
        <w:br/>
        <w:t xml:space="preserve">Having regard to Book IV of the Commercial Code relating to the freedom of prices and competition, and in particular its Articles L. 430-1 to L. 430-7;  </w:t>
        <w:br/>
        <w:t xml:space="preserve">Having regard to the additional elements transmitted by the notifying parties during the investigation;  </w:t>
        <w:br/>
        <w:t xml:space="preserve">Adopts the following decision:  </w:t>
        <w:br/>
        <w:t xml:space="preserve">1. The notified operation consists of the joint control acquisition by the company Socamil alongside the Association of E. Leclerc Distributor Centers of the companies Nobladis and Sodirev, which operate respectively a hypermarket with an area of 14,300 m², a drive attached, and a service station under the E. Leclerc brand located in Blagnac (31) and a hypermarket with an area of 15,600 m² as well as a service station located in Saint-Orens-de-Gameville (31). It constitutes a concentration operation within the meaning of Article L. 430-1 of the Commercial Code. Given the revenues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22-030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