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https://www.autoritedelaconcurrence.fr/fr/decision-de-controle-des-concentrations/relative-la-prise-de-controle-conjoint-des-societes-alfa</w:t>
      </w:r>
    </w:p>
    <w:p>
      <w:r>
        <w:t>Pages translated : 6</w:t>
      </w:r>
    </w:p>
    <w:p/>
    <w:p>
      <w:r>
        <w:rPr>
          <w:b/>
        </w:rPr>
        <w:t>[Pages 1–3]</w:t>
      </w:r>
    </w:p>
    <w:p>
      <w:r>
        <w:t xml:space="preserve">FRENCH REPUBLIC  </w:t>
        <w:br/>
        <w:t xml:space="preserve">Decision No. 10-DCC-156 of December 6, 2010  </w:t>
        <w:br/>
        <w:t xml:space="preserve">regarding the joint control  </w:t>
        <w:br/>
        <w:t xml:space="preserve">of the companies Alfa, Sodom, and Sedavi by the company Mauralli  </w:t>
        <w:br/>
        <w:t>and the company ITM Entreprises</w:t>
      </w:r>
    </w:p>
    <w:p>
      <w:r>
        <w:t xml:space="preserve">The Competition Authority,  </w:t>
        <w:br/>
        <w:t xml:space="preserve">Having regard to the notification file sent to the concentrations service on September 28, 2010,  </w:t>
        <w:br/>
        <w:t xml:space="preserve">declared complete on October 28, 2010, regarding the acquisition of shares of the company Alfa by the  </w:t>
        <w:br/>
        <w:t xml:space="preserve">company Mauralli and by the company ITM Entreprises, formalized by a transfer protocol dated July 29, 2009, and regarding the acquisition of joint control of the companies Sodom and Sedavi  </w:t>
        <w:br/>
        <w:t xml:space="preserve">by the companies ITM Entreprises and Mauralli, formalized by a draft amendment to the articles of association of the companies Sodom and Sedavi;  </w:t>
        <w:br/>
        <w:t xml:space="preserve">Having regard to Book IV of the Commercial Code relating to price and competition freedom, and  </w:t>
        <w:br/>
        <w:t xml:space="preserve">notably its Articles L. 430-1 to L. 430-7;  </w:t>
        <w:br/>
        <w:t xml:space="preserve">Having regard to the supplementary elements transmitted by the parties during the investigation;  </w:t>
        <w:br/>
        <w:t>Adopts the following decision:</w:t>
      </w:r>
    </w:p>
    <w:p>
      <w:r>
        <w:t xml:space="preserve">I. The companies concerned and the operation  </w:t>
        <w:br/>
        <w:t>1. The company ITM Entreprises, 100% controlled by the Société civile des Mousquetaires, itself held by 1,330 individuals known as "associated members," manages and animates the network of independent merchants known as the "Groupement des Mousquetaires." In its capacity as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w:t>
      </w:r>
    </w:p>
    <w:p>
      <w:r>
        <w:t>2. The company ITM Alimentaire Centre-Est is a French law company owned at [&gt;50]% by the company ITM Alimentaire France, which is itself owned by the company ITM Entreprises. The company ITM Entreprises has entrusted ITM Alimentaire Centre-Est with the management and development of the franchise network operating retail outlets under the Intermarché, Ecomarché, and Netto brands in the Centre-East region of France.</w:t>
      </w:r>
    </w:p>
    <w:p>
      <w:r>
        <w:t>3. The company Mauralli is a simplified joint-stock company under French law whose corporate purpose is the holding of shares in any company operating a retail outlet under the Intermarché brand. The shares of the company Mauralli are owned at more than [&gt;50]% by Mr. and Mrs. X, with ITM Entreprises holding a single share that does not grant it any particular rights. Mr. and Mrs. X are signatories of the membership charter of the Groupement des Mousquetaires. The company Mauralli holds four companies, Sodom, Sedavi, Franjeju, and Sojay, which operate respectively food-dominant retail outlets under the Intermarché brand in Domène (38), Rumilly (74), Varces Allières (38), and Risset (38). The capital of the companies Sodom and Sedavi is held at [&gt;50]% by the company Mauralli, with ITM Entreprises holding one share in the capital of each company, these shares currently granting it no particular rights.</w:t>
      </w:r>
    </w:p>
    <w:p>
      <w:r>
        <w:t>4. The company Alfa is a simplified joint-stock company under French law that operates a food-dominant retail outlet under the Intermarché brand in Craponne (69). The shares of the company Alfa are predominantly held by the company Agate ([&gt;50]% of the shares in full ownership and [&gt;50]% in usufruct), the remainder being held by the companies ITM Alimentation Centre Est ([&gt;50]% in bare ownership) and ITM Entreprises (one preferred share). The company Agate is predominantly owned by Mr. Doise, a signatory of the membership charter of the Groupement des Mousquetaires.</w:t>
      </w:r>
    </w:p>
    <w:p>
      <w:r>
        <w:t>5. The articles of association of Alfa, adopted on June 29, 2005, grant ITM Entreprises, for 15 years, the possibility to block any change of brand, to oppose any transfer of shares, and to compel the majority shareholders to sell the business as soon as they operate a similar business under a competing brand. Furthermore, the brand contract grants ITM Entreprises, also for 15 years, a right of first refusal in the event of the sale of the business at a price calculated according to a predetermined formula. Finally, after 15 years, if ITM Entreprises no longer has the ability to block any change of brand or to oppose any transfer of shares, ITM Entreprises retains a right of first refusal on any sale of shares for an additional 5 years.</w:t>
      </w:r>
    </w:p>
    <w:p>
      <w:r>
        <w:t>6. It follows from the above that prior to the operation, ITM Entreprises already jointly exercises control over the company Alfa with the company Agate.</w:t>
      </w:r>
    </w:p>
    <w:p>
      <w:r>
        <w:t>7. The first notified operation, formalized by a transfer protocol dated July 9, 2009, consists of the acquisition by the company Mauralli of all the shares held by the company Agate prior to the operation. The remainder of the capital will continue to be held by the companies ITM Alimentation Centre Est and ITM Entreprises.</w:t>
      </w:r>
    </w:p>
    <w:p>
      <w:r>
        <w:t>8. The two other notified operations consist of the acquisition of joint control of the companies Sodom and Sedavi by the company ITM Entreprises. These operations, formalized by the amendment of the articles of association of Sodom and Sedavi, will grant ITM Entreprises, for 15 years, the possibility to block any change of brand, to oppose any transfer of shares, and to compel the majority shareholders to sell the business as soon as they operate a similar business under a competing brand. Furthermore, the brand contract will grant ITM Entreprises, also for 15 years, a right of first refusal in the event of the sale of the business at a price calculated according to a predetermined formula. Finally, after 15 years, if ITM Entreprises no longer has the ability to block any change of brand or to oppose any transfer of shares, ITM Entreprises will retain a right of first refusal on any sale of shares for an additional 5 years.</w:t>
      </w:r>
    </w:p>
    <w:p>
      <w:r>
        <w:t>9. As they will result in the joint control of the companies Alfa, Sodom, and Sedavi by the ITM Entreprises group and by the company Mauralli, the notified operations constitute concentrations within the meaning of Article L. 430-1 of the Commercial Code.</w:t>
      </w:r>
    </w:p>
    <w:p>
      <w:r>
        <w:t>10. Although these three operations are not interdependent, they are subject to a single decision for practical reasons.</w:t>
      </w:r>
    </w:p>
    <w:p>
      <w:r>
        <w:t>11. The companies involved in the acquisition of joint control of the company Alfa operate one or more retail stores and together achieve a total worldwide turnover of more than 75 million euros (ITM Entreprises: […] billion euros for the fiscal year ending December 31, 2009; Mauralli: […] million euros for the same fiscal year; Alfa: […] million euros for the same fiscal year). Each achieves in France in the retail sector a turnover exceeding 15 million euros.</w:t>
      </w:r>
    </w:p>
    <w:p>
      <w:r>
        <w:t>12. Furthermore, the companies involved in the acquisition of joint control of the company Sodom operate one or more retail stores and together achieve a total worldwide turnover of more than 75 million euros (ITM Entreprises: […] billion euros for the fiscal year ending December 31, 2009; Mauralli: […] million euros for the same fiscal year). Each achieves in France in the retail sector a turnover exceeding 15 million euros.</w:t>
      </w:r>
    </w:p>
    <w:p>
      <w:r>
        <w:t>13. Finally, the companies involved in the acquisition of joint control of the company Sedavi operate one or more retail stores and together achieve a total worldwide turnover of more than 75 million euros (ITM Entreprises: […] billion euros for the fiscal year ending December 31, 2009; Mauralli: […] million euros for the same fiscal year). Each achieves in France in the retail sector a turnover exceeding 15 million euros.</w:t>
      </w:r>
    </w:p>
    <w:p>
      <w:r>
        <w:t>14. Given these turnover figures, the operations do not have a community dimension. On the other hand, the control thresholds related to retail mentioned in point II of Article L. 430-2 of the Commercial Code are exceeded. These operations are therefore subject to the provisions of Articles L. 430-3 and following of the Commercial Code relating to economic concentration.</w:t>
      </w:r>
    </w:p>
    <w:p>
      <w:r>
        <w:t xml:space="preserve">II. Definition of the relevant markets  </w:t>
        <w:br/>
        <w:t>15. According to the constant practice of national and community competition authorities, two categories of markets can be defined in the food-dominant distribution sector. These are, on the one hand, the "downstream" markets, of local dimension, which bring together retail companies and consumers for the sale of consumer goods and, on the other hand, the "upstream" markets for supplying retail companies with everyday consumer goods, of national dimension.</w:t>
      </w:r>
    </w:p>
    <w:p>
      <w:r>
        <w:rPr>
          <w:b/>
        </w:rPr>
        <w:t>[Pages 4–6]</w:t>
      </w:r>
    </w:p>
    <w:p>
      <w:r>
        <w:t>A. DOWNSTREAM DISTRIBUTION MARKETS</w:t>
      </w:r>
    </w:p>
    <w:p>
      <w:r>
        <w:t>1. SERVICE MARKETS</w:t>
      </w:r>
    </w:p>
    <w:p>
      <w:r>
        <w:t>16.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mail-order sales.</w:t>
      </w:r>
    </w:p>
    <w:p>
      <w:r>
        <w:t>17. Supermarkets are usually defined as food-dominant stores with a legal sales area of less than 2,500 m².</w:t>
      </w:r>
    </w:p>
    <w:p>
      <w:r>
        <w:t>18. In this case, the stores involved in the operation currently occupy respective sales areas of 1,580 m² (company Alfa), 1,690 m² (company Sodom), and 2,105 m² (company Sedavi), thus falling into the category of supermarkets.</w:t>
      </w:r>
    </w:p>
    <w:p>
      <w:r>
        <w:t>2. GEOGRAPHICAL DELIMITATION</w:t>
      </w:r>
    </w:p>
    <w:p>
      <w:r>
        <w:t>19. In its recent decisions regarding operations involving hypermarkets or supermarkets, the Competition Authority has recalled that depending on the size of the stores involved, the conditions of competition should be assessed in two different areas:</w:t>
        <w:br/>
        <w:t>- a first market where the demand from consumers in an area meets the supply of hypermarkets that they can access within 30 minutes of driving and which are, from their perspective, substitutable for one another;</w:t>
        <w:br/>
        <w:t>- a second market where the demand from consumers meets the supply of supermarkets and equivalent forms of commerce located within 15 minutes of driving time.</w:t>
      </w:r>
    </w:p>
    <w:p>
      <w:r>
        <w:t>These latter forms of commerce may include, in addition to supermarkets, hypermarkets located near consumers and discount stores.</w:t>
      </w:r>
    </w:p>
    <w:p>
      <w:r>
        <w:t>20. Other criteria may, however, be taken into account to assess the impact of a concentration on the competitive situation in the retail distribution markets, which may lead to refining, in the specific case, the usual delimitations presented above.</w:t>
      </w:r>
    </w:p>
    <w:p>
      <w:r>
        <w:t>21. In this case, the stores involved falling into the category of supermarkets, the competitive analysis will be conducted solely on the market including supermarkets, hypermarkets, and convenience stores and discount stores located within a 15-minute radius around Craponne (company Alfa), Domène (company Sodom), and Rumilly (company Sedavi).</w:t>
      </w:r>
    </w:p>
    <w:p>
      <w:r>
        <w:t>B. UPSTREAM SUPPLY MARKETS</w:t>
      </w:r>
    </w:p>
    <w:p>
      <w:r>
        <w:t>22. Regarding the supply markets, the European Commission has recognized the existence of markets of national dimension by major product groups, a delimitation followed by national authorities.</w:t>
      </w:r>
    </w:p>
    <w:p>
      <w:r>
        <w:t>23. There is no need to challenge this delimitation in the context of the present operation.</w:t>
      </w:r>
    </w:p>
    <w:p>
      <w:r>
        <w:t>III. Competitive Analysis</w:t>
      </w:r>
    </w:p>
    <w:p>
      <w:r>
        <w:t>A. DOWNSTREAM DISTRIBUTION MARKET</w:t>
      </w:r>
    </w:p>
    <w:p>
      <w:r>
        <w:t>24. The supermarkets operated by the targets are located, respectively, in the catchment areas of Craponne, Rumilly, and Domène. The competitive analysis reveals that for each catchment area, the operation is not likely to harm competition.</w:t>
      </w:r>
    </w:p>
    <w:p>
      <w:r>
        <w:t>25. In the market comprising supermarkets and equivalent forms of commerce located within a 15-minute driving radius around Craponne, the Intermarché operated by the target represents 5.4% of the sales areas. There are no other supermarkets operated under the Intermarché brand in the catchment area.</w:t>
      </w:r>
    </w:p>
    <w:p>
      <w:r>
        <w:t>26. In the market comprising supermarkets and equivalent forms of commerce located within a 15-minute driving radius around Rumilly, the Intermarché operated by the target represents 24.6% of the sales areas. Currently, there are no other supermarkets operated under the Intermarché brand in the catchment area.</w:t>
      </w:r>
    </w:p>
    <w:p>
      <w:r>
        <w:t>27. In the market comprising supermarkets located within a 15-minute driving radius around Domène, the Intermarché operated by the target represents 3.8% of the sales areas. Another supermarket operated under the Intermarché brand in the catchment area represents 3.1% of the sales areas. The combined sales area of these two supermarkets represents 6.9% of the sales areas.</w:t>
      </w:r>
    </w:p>
    <w:p>
      <w:r>
        <w:t>28. These stores face competition from eight supermarkets of the Casino group holding 39.6% of the sales areas, four supermarkets of the Carrefour group holding 26.4% of the sales areas, and numerous other retail outlets of the Système U, Auchan, Leclerc, Lidl, Ed, Spar, and Norma brands.</w:t>
      </w:r>
    </w:p>
    <w:p>
      <w:r>
        <w:t>29. Furthermore, the notifying party indicated that the Système U, Leclerc, Lidl, and Casino groups have obtained authorization to create or expand their respective retail outlets. These expansions will lead to a slight decrease in the market shares of the Intermarché group to 6.2% of the sales areas.</w:t>
      </w:r>
    </w:p>
    <w:p>
      <w:r>
        <w:t>30. Therefore, the operations are not likely to harm competition in the markets concerned.</w:t>
      </w:r>
    </w:p>
    <w:p>
      <w:r>
        <w:t>B. UPSTREAM SUPPLY MARKET</w:t>
      </w:r>
    </w:p>
    <w:p>
      <w:r>
        <w:t>31. Regarding the upstream supply markets, the operation, which concerns only a single store, is not likely to significantly strengthen the purchasing power of the ITM Entreprises group, across all products as well as by major product groups.</w:t>
      </w:r>
    </w:p>
    <w:p>
      <w:r>
        <w:t>32. Therefore, the operation is not likely to harm competition both in the downstream market and in the upstream market of distribution.</w:t>
      </w:r>
    </w:p>
    <w:p>
      <w:r>
        <w:t>DECIDES</w:t>
      </w:r>
    </w:p>
    <w:p>
      <w:r>
        <w:t>Sole Article: The operation notified under number 10-0162 is authorized.</w:t>
      </w:r>
    </w:p>
    <w:p>
      <w:r>
        <w:t>The President,</w:t>
      </w:r>
    </w:p>
    <w:p>
      <w:r>
        <w:t>Bruno Lasserre</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