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https://www.autoritedelaconcurrence.fr/fr/decision-de-controle-des-concentrations/relative-la-prise-de-controle-conjoint-des-societes-alnimar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22-DCC-129 of July 28, 2022  </w:t>
        <w:br/>
        <w:t xml:space="preserve">regarding the joint control acquisition of the companies Alnimar and Bernodis  </w:t>
        <w:br/>
        <w:t xml:space="preserve">by the Bocquet consortium and Système U  </w:t>
        <w:br/>
        <w:t xml:space="preserve">The Competition Authority,  </w:t>
        <w:br/>
        <w:t xml:space="preserve">Having regard to the complete notification file submitted to the mergers department on July 6, 2022,  </w:t>
        <w:br/>
        <w:t xml:space="preserve">concerning the joint control acquisition of the companies Alnimar and Bernodis by the Bocquet consortium  </w:t>
        <w:br/>
        <w:t xml:space="preserve">and Système U, formalized by an approval letter signed by all parties on  </w:t>
        <w:br/>
        <w:t xml:space="preserve">October 18,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Bocquet consortium alongside  </w:t>
        <w:br/>
        <w:t xml:space="preserve">Système U Est of the company Alnimar and its subsidiary, the company Hotdis, whose purpose  </w:t>
        <w:br/>
        <w:t xml:space="preserve">is the operation of a retail business predominantly focused on food of the hypermarket type  </w:t>
        <w:br/>
        <w:t xml:space="preserve">under the Super U brand located in Bernolsheim (67) as well as the company Bernodis, owner  </w:t>
        <w:br/>
        <w:t xml:space="preserve">of the real estate and shopping gallery of this Super U. It constitutes a concentration operation  </w:t>
        <w:br/>
        <w:t xml:space="preserve">within the meaning of Article L. 430-1 of the Commercial Code. Given the turnover generated by the  </w:t>
        <w:br/>
        <w:t xml:space="preserve">concerned companies, the operation does not fall under the jurisdiction of the European Union.  </w:t>
        <w:br/>
        <w:t xml:space="preserve">On the other hand, the retail control thresholds mentioned in II of Article L. 430-2 of the Commercial Code  </w:t>
        <w:br/>
        <w:t xml:space="preserve">are exceeded. This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22-136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