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https://www.autoritedelaconcurrence.fr/fr/decision-de-controle-des-concentrations/relative-la-prise-de-controle-conjoint-des-societes-arpel-0</w:t>
      </w:r>
    </w:p>
    <w:p>
      <w:r>
        <w:t>Pages translated : 5</w:t>
      </w:r>
    </w:p>
    <w:p/>
    <w:p>
      <w:r>
        <w:rPr>
          <w:b/>
        </w:rPr>
        <w:t>[Pages 1–3]</w:t>
      </w:r>
    </w:p>
    <w:p>
      <w:r>
        <w:t xml:space="preserve">FRENCH REPUBLIC  </w:t>
        <w:br/>
        <w:t xml:space="preserve">Decision No. 14-DCC-89 of June 20, 2014  </w:t>
        <w:br/>
        <w:t xml:space="preserve">regarding the joint control of the companies Arpel and Visama by  </w:t>
        <w:br/>
        <w:t>the company Coranda and ITM Entreprises</w:t>
      </w:r>
    </w:p>
    <w:p>
      <w:r>
        <w:t xml:space="preserve">The Competition Authority,  </w:t>
        <w:br/>
        <w:t xml:space="preserve">Having regard to the notification file submitted in full to the merger service on May 15, 2014,  </w:t>
        <w:br/>
        <w:t xml:space="preserve">regarding the joint control of the companies Arpel and Visama by the companies Coranda and  </w:t>
        <w:br/>
        <w:t xml:space="preserve">ITM Entreprises, formalized by a memorandum of understanding dated February 11, 2014;  </w:t>
        <w:br/>
        <w:t xml:space="preserve">Having regard to Book IV of the Commercial Code relating to the freedom of prices and competition, and  </w:t>
        <w:br/>
        <w:t xml:space="preserve">notably its Articles L. 430-1 to L. 430-7;  </w:t>
        <w:br/>
        <w:t>Adopts the following decision:</w:t>
      </w:r>
    </w:p>
    <w:p>
      <w:r>
        <w:t xml:space="preserve">I. The companies concerned and the operation  </w:t>
        <w:br/>
        <w:t xml:space="preserve">1. ITM Entreprises, a company 100% controlled by the Société civile des Mousquetaires, itself held by 1,330 individuals known as "associated members," leads and animates the network of independent merchants known as the "Groupement des Mousquetaires." As a franchisor, ITM Entreprises' main activity is the management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w:t>
        <w:br/>
        <w:t xml:space="preserve">2. ITM Alimentaire Sud Est is a French law company 99% owned by ITM Alimentaire France, which is itself owned by ITM Entreprises. The latter has entrusted ITM Alimentaire Sud Est with the management and development of the franchise network operating under the brands Intermarché, Ecomarché, and Netto in the Southeast region of France.  </w:t>
        <w:br/>
        <w:t xml:space="preserve">3. Prior to the operation, ITM Entreprises also holds exclusive control over the companies Arpel and Visama, active in food-dominant distribution through the operation of commercial establishments in Lunel, in the department of Hérault (34).  </w:t>
        <w:br/>
        <w:t xml:space="preserve">4. Coranda is a French law company active, through several subsidiaries, in food-dominant distribution. Coranda thus operates food stores under the brands Intermarché and Netto located in Sommières, Aujargues, Quissac, and Caveirac in the department of Gard (30). The company Coranda is owned [Confidential] by the [X] parties, with the remaining capital held by ITM Entreprises, through a share that does not confer any special rights.  </w:t>
        <w:br/>
        <w:t xml:space="preserve">5. By virtue of a memorandum of understanding dated February 11, 2014, the [X] parties wish to acquire more than 95% of the shares of the companies Arpel and Visama, with ITM Entreprises retaining in these companies a preferred share granting it, for a period of […] years, the ability to block any change of brand, to oppose any transfer of shares, and to compel the majority shareholders to sell the business as soon as they operate a similar business under a competing brand. Beyond this period, ITM Entreprises will retain a right of first refusal on any sale of shares for an additional five years.  </w:t>
        <w:br/>
        <w:t xml:space="preserve">6. Insofar as it entails the transition from exclusive control of ITM Entreprises over the companies Arpel and Visama to joint control by the [X] parties, via the company Coranda, the notified operation constitutes a concentration within the meaning of Article L. 430-1 of the Commercial Code.  </w:t>
        <w:br/>
        <w:t>7. The companies concerned together generate a total worldwide turnover of over 75 million euros (ITM Entreprises: […] euros for the fiscal year ending December 31, 2012; Coranda: […] euros for the same fiscal year). Each generates in France in the retail sector a turnover exceeding 15 million euros (ITM Entreprises: […] euros for the fiscal year ending December 31, 2012; Coranda: […] euros for the same fiscal year). Given these turnover figures, the operation does not fall under the jurisdiction of the European Union.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8. According to the consistent practice of national and community competition authorities1, two categories of markets can be delineated2 in the food-dominant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w:t>
      </w:r>
    </w:p>
    <w:p>
      <w:r>
        <w:t xml:space="preserve">A. DOWNSTREAM DISTRIBUTION MARKETS  </w:t>
        <w:br/>
        <w:t xml:space="preserve">1. SERVICE MARKETS  </w:t>
        <w:br/>
        <w:t xml:space="preserve">9. Regarding the retail sale of everyday consumer goods, competition authorities, both at the community and national levels3,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businesses, (v) discount stores, (vi) mail order sales.  </w:t>
        <w:br/>
        <w:t xml:space="preserve">10. Supermarkets are usually defined as food-dominant stores with a sales area of less than 2,500 m² and more than 400 m². However, it should be noted that these thresholds must be used with caution and may be adapted to the specific case, considering that stores whose area is close to a threshold, either below or above, may be in direct competition in practice4.  </w:t>
        <w:br/>
        <w:t>11. In this case, the Intermarché store operated by the company Arpel occupies an area of 6,710 m² and therefore falls into the category of hypermarkets. The Netto store operated by the company Parel occupies an area of 650 m² and therefore falls into the category of supermarkets.</w:t>
      </w:r>
    </w:p>
    <w:p>
      <w:r>
        <w:t xml:space="preserve">2. GEOGRAPHICAL DELIMITATION  </w:t>
        <w:br/>
        <w:t xml:space="preserve">12. In its recent decisions5 regarding operations involving hypermarkets or supermarkets, the Competition Authority has recalled that two types of markets are usually distinguished, based on catchment areas:  </w:t>
        <w:br/>
        <w:t xml:space="preserve">- a first market where the demand from consumers in an area meets the supply of hypermarkets that they can access within less than 30 minutes of driving and which are, from their point of view, substitutable for each other;  </w:t>
        <w:br/>
        <w:t xml:space="preserve">- a second market where the demand from consumers meets the supply of supermarkets and equivalent forms of commerce, located within less than 15 minutes of driving time. These latter forms of commerce may include, in addition to supermarkets, hypermarkets located near consumers and discount stores.  </w:t>
        <w:br/>
        <w:t xml:space="preserve">13. Other criteria may nevertheless be taken into account to assess the impact of a concentration on the competitive situation in retail distribution markets, which may lead to refining, in the specific case, the usual delimitations presented above.  </w:t>
        <w:br/>
        <w:t xml:space="preserve">3 Decisions C.2008-32 Amidis SAGC of July 9, 2008, C.2007-172 Carrefour Plane Plamidis, of February 13, 2008, C.2007-154 Système U Vergali of December 3, 2007, C.2007-05 Carrefour Sofodis of March 26, 2007, C.2006-15 Amidis Hamon of April 14, 2006, C 2005-98 Carrefour Penny Market of November 10, 2005.  </w:t>
        <w:br/>
        <w:t xml:space="preserve">4 See notably opinion No. 00-A-06 of the Council of May 3, 2000, regarding the acquisition by the company Carrefour of the company Promodès.  </w:t>
        <w:br/>
        <w:t>5 Decisions 09-DCC-24 of July 23, 2009 Floritine/C.S.F; 09-DCC- of May 28, 2009 Frandis/Financière Perdis; 09-DCC-06 of May 20, 2009 Evolis/ITM; 09-DCC-04 of April 29, 2009 Carrefour/Noukat,</w:t>
      </w:r>
    </w:p>
    <w:p>
      <w:r>
        <w:rPr>
          <w:b/>
        </w:rPr>
        <w:t>[Pages 4–5]</w:t>
      </w:r>
    </w:p>
    <w:p>
      <w:r>
        <w:t>14. In the present case, the Intermarché store falls into the category of hypermarkets, and the competitive analysis will be conducted on the market including hypermarkets within a 30-minute radius around Lunel (30). For this store, as well as for the Netto store, the analysis will also be conducted on the market including supermarkets and equivalent forms of commerce located within a 15-minute radius around Lunel (30).</w:t>
      </w:r>
    </w:p>
    <w:p>
      <w:r>
        <w:t>B. UPSTREAM SUPPLY MARKETS</w:t>
      </w:r>
    </w:p>
    <w:p>
      <w:r>
        <w:t>15. Regarding the supply markets, the European Commission6 has identified the existence of national dimension markets by major product groups, a delineation followed by national authorities7.</w:t>
      </w:r>
    </w:p>
    <w:p>
      <w:r>
        <w:t>16. There is no reason to challenge this delineation on the occasion of the present operation.</w:t>
      </w:r>
    </w:p>
    <w:p>
      <w:r>
        <w:t>III. Competitive Analysis</w:t>
      </w:r>
    </w:p>
    <w:p>
      <w:r>
        <w:t>17. In the downstream market for food distribution, including hypermarkets within a 30-minute driving area around Lunel, the Intermarché operated by the company Arpel represents 7% of the sales area. There are also four other hypermarkets under the Intermarché brand in the Lunel area, with the brand representing a cumulative market share of 18.6%. These stores face competition from three hypermarkets under the Carrefour group brand (28.6% of the sales area in the area), and one hypermarket under the Auchan group brand (14.8%). The Système U group (12.6%), Casino (12.5%), and Leclerc (11.8%) are also present.</w:t>
      </w:r>
    </w:p>
    <w:p>
      <w:r>
        <w:t>18. In the market including supermarkets and other equivalent forms of commerce located within a 15-minute driving area around Lunel, the stores operated by Arpel and Parel represent 18.2% of the sales area. Following the operation, ITM will represent 29.9% of the sales area. In this area, these stores face competition from a large number of stores, notably under the Leclerc brand (28.1%) and Système U (18.9%).</w:t>
      </w:r>
    </w:p>
    <w:p>
      <w:r>
        <w:t>19. The operation is therefore not likely to harm competition in the markets concerned.</w:t>
      </w:r>
    </w:p>
    <w:p>
      <w:r>
        <w:t>20. Regarding the upstream supply markets, the operation, which only concerns the change of control of two stores, is not likely to significantly strengthen the purchasing power of the ITM Entreprises group, across all products as well as by major product groups.</w:t>
      </w:r>
    </w:p>
    <w:p>
      <w:r>
        <w:t>6 See the Commission decisions M.1684 Carrefour/Promodès of January 25, 2000, and M. 2115 Carrefour/GB of September 28, 2000.</w:t>
      </w:r>
    </w:p>
    <w:p>
      <w:r>
        <w:t>7 See in particular the ministerial decisions in the sector, C2005-98, Carrefour/Penny Market of November 10, 2005, C2006-15 Carrefour/Groupe Hamon of April 14, 2006, C2007-172 regarding the creation of the joint venture Plamidis of February 13, 2008, and C2008-32 Carrefour/SAGC of July 9, 2008.</w:t>
      </w:r>
    </w:p>
    <w:p>
      <w:r>
        <w:t>DECIDES</w:t>
      </w:r>
    </w:p>
    <w:p>
      <w:r>
        <w:t>Sole Article: The operation notified under number 14-080 is authorized.</w:t>
      </w:r>
    </w:p>
    <w:p>
      <w: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