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https://www.autoritedelaconcurrence.fr/fr/decision-de-controle-des-concentrations/relative-la-prise-de-controle-conjoint-des-societes-baldis</w:t>
      </w:r>
    </w:p>
    <w:p>
      <w:r>
        <w:t>Pages translated : 2</w:t>
      </w:r>
    </w:p>
    <w:p/>
    <w:p>
      <w:r>
        <w:rPr>
          <w:b/>
        </w:rPr>
        <w:t>[Pages 1–2]</w:t>
      </w:r>
    </w:p>
    <w:p>
      <w:r>
        <w:t xml:space="preserve">FRENCH REPUBLIC  </w:t>
        <w:br/>
        <w:t xml:space="preserve">Decision No. 22-DCC-181 of September 23, 2022  </w:t>
        <w:br/>
        <w:t>regarding the joint control acquisition of the companies Baldis, Etioldis, and Faldis by the companies GH Participations and Somonfi alongside the Carrefour group</w:t>
      </w:r>
    </w:p>
    <w:p>
      <w:r>
        <w:t>The Competition Authority,</w:t>
      </w:r>
    </w:p>
    <w:p>
      <w:r>
        <w:t>Having regard to the complete notification file submitted to the mergers department on August 31, 2022, concerning the joint control acquisition of the companies Baldis, Etioldis, and Faldis by the companies GH Participations and Somonfi alongside the Carrefour group, formalized by a memorandum of understanding dated August 1, 2022;</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companies Carrefour, GH Participations, and Somonfi of the companies Baldis, Etioldis, and Faldis, which operate food-oriented businesses of the supermarket and hypermarket type under the "Carrefour Market" brand, with areas of 2,811 m², 2,093 m², and 3,066 m², located respectively in Ballancourt sur Essonne (91), Etiolles (91), and Falaise (14).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