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https://www.autoritedelaconcurrence.fr/fr/decision-de-controle-des-concentrations/relative-la-prise-de-controle-conjoint-des-societes-bebo</w:t>
      </w:r>
    </w:p>
    <w:p>
      <w:r>
        <w:t>Pages translated : 2</w:t>
      </w:r>
    </w:p>
    <w:p/>
    <w:p>
      <w:r>
        <w:rPr>
          <w:b/>
        </w:rPr>
        <w:t>[Pages 1–2]</w:t>
      </w:r>
    </w:p>
    <w:p>
      <w:r>
        <w:t xml:space="preserve">FRENCH REPUBLIC  </w:t>
        <w:br/>
        <w:t xml:space="preserve">Decision No. 16-DCC-51 of April 4, 2016  </w:t>
        <w:br/>
        <w:t xml:space="preserve">regarding the joint control acquisition of the companies Bebo Développement and Martin Distribution by the company Système U Centrale Régionale Est alongside Mr. Fabrice Wagner  </w:t>
        <w:br/>
        <w:t xml:space="preserve">The Competition Authority,  </w:t>
        <w:br/>
        <w:t xml:space="preserve">Having regard to the complete notification file sent to the mergers department on March 8, 2016, concerning the joint control acquisition of the companies Bebo Développement and Martin Distribution by Mr. Fabrice Wagner and the company Système U Centrale Régionale Est, materialized by a draft withdrawal protocol annexed to the evidentiary protocol concerning the Bollwiller store dated September 30, 2015, and the draft amended statutes of the companies Bebo Développement and Martin Distribution;  </w:t>
        <w:br/>
        <w:t xml:space="preserve">Having regard to Book IV of the Commercial Code relating to price and competition freedom, and in particular its Articles L. 430-1 to L. 430-7;  </w:t>
        <w:br/>
        <w:t xml:space="preserve">Adopts the following decision:  </w:t>
        <w:br/>
        <w:t xml:space="preserve">1. The notified operation consists of the joint control acquisition of the companies Bebo Développement and Martin Distribution, operating a predominantly food store under the U brand in Bollwiller (68), by the company Système U Centrale Régionale Est, alongside Mr. Fabrice Wagner. This operation constitutes a concentration within the meaning of Article L. 430-1 of the Commercial Code. Given the turnover generated by the companies involved, the operation does not fall under the jurisdiction of the European Union. On the other hand,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16-040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