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https://www.autoritedelaconcurrence.fr/fr/decision-de-controle-des-concentrations/relative-la-prise-de-controle-conjoint-des-societes-calao-1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24-DCC-212 of October 1, 2024  </w:t>
        <w:br/>
        <w:t xml:space="preserve">regarding the joint control acquisition of companies Calao 59, Calao 119,  </w:t>
        <w:br/>
        <w:t xml:space="preserve">Calao 167, and Calao 202 by the company Sofiben alongside the company  </w:t>
        <w:br/>
        <w:t xml:space="preserve">ITM Entreprises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16, 2024, concerning the joint control acquisition of companies Calao 59, Calao 119,  </w:t>
        <w:br/>
        <w:t xml:space="preserve">Calao 167, and Calao 202 by the company Sofiben alongside the company ITM Entreprises,  </w:t>
        <w:br/>
        <w:t xml:space="preserve">formalized by a share acquisition promise signed on January 25,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The notified operation consists of the joint control acquisition by the company Sofiben, alongside  </w:t>
        <w:br/>
        <w:t xml:space="preserve">the company ITM Entreprises, of the companies Calao 59, Calao 119, Calao 167, and Calao 202. The  </w:t>
        <w:br/>
        <w:t xml:space="preserve">companies Calao 59 and Calao 167 operate two retail businesses primarily focused on food with areas of  </w:t>
        <w:br/>
        <w:t xml:space="preserve">3,610 m² and 2,034 m², under the Intermarché brand, located in Marseille (13). The companies Calao 119  </w:t>
        <w:br/>
        <w:t xml:space="preserve">and Calao 202 operate two service station businesses, ancillary to the businesses of companies Calao 59  </w:t>
        <w:br/>
        <w:t xml:space="preserve">and Calao 167 in the same municipality.  </w:t>
        <w:br/>
        <w:t xml:space="preserve">The operation constitutes a concentration within the meaning of Article L. 430-1 of the Commercial Code.  </w:t>
        <w:br/>
        <w:t xml:space="preserve">Given the turnover generated by the companies involved, the operation does not fall under the jurisdiction of  </w:t>
        <w:br/>
        <w:t xml:space="preserve">the European Union. However, the control thresholds mentioned in II of Article L. 430-2 of the Commercial  </w:t>
        <w:br/>
        <w:t xml:space="preserve">Code are exceeded. The present operation is therefore subject to the provisions of Articles L. 430-3 and  </w:t>
        <w:br/>
        <w:t xml:space="preserve">following of the Commercial Code relating to economic concentration.  </w:t>
        <w:br/>
        <w:t xml:space="preserve">1.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24-228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