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https://www.autoritedelaconcurrence.fr/fr/decision-de-controle-des-concentrations/relative-la-prise-de-controle-conjoint-des-societes-calao-6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25-DCC-11 of January 21, 2025  </w:t>
        <w:br/>
        <w:t xml:space="preserve">regarding the joint control acquisition of companies Calao 175 and  </w:t>
        <w:br/>
        <w:t>Calao 204 by companies Brielomat and ITM Entreprises</w:t>
      </w:r>
    </w:p>
    <w:p>
      <w:r>
        <w:t>The Competition Authority,</w:t>
      </w:r>
    </w:p>
    <w:p>
      <w:r>
        <w:t xml:space="preserve">Having regard to the complete notification file submitted to the mergers department on  </w:t>
        <w:br/>
        <w:t xml:space="preserve">December 26, 2024, concerning the joint control acquisition of companies Calao 175 and Calao 204  </w:t>
        <w:br/>
        <w:t>by companies Brielomat and ITM Entreprises formalized by a share acquisition promise signed on May 30, 2024;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>Adopts the following decision:</w:t>
      </w:r>
    </w:p>
    <w:p>
      <w:r>
        <w:t xml:space="preserve">1. The notified operation consists of the acquisition by company Brielomat of almost all the  </w:t>
        <w:br/>
        <w:t xml:space="preserve">shares, with company ITM Entreprises retaining one preferred share, of companies Calao 175  </w:t>
        <w:br/>
        <w:t xml:space="preserve">and Calao 204. Company Calao 175 has the purpose of operating a retail business primarily  </w:t>
        <w:br/>
        <w:t xml:space="preserve">focused on food under the Intermarché brand (formerly Casino) with a sales area of 2,020 m² in the  </w:t>
        <w:br/>
        <w:t xml:space="preserve">city of Quimper (29). Company Calao 204 has the purpose of operating a fuel distribution business  </w:t>
        <w:br/>
        <w:t xml:space="preserve">located on the site of the business operated by company Calao 175. This operation constitutes a  </w:t>
        <w:br/>
        <w:t xml:space="preserve">concentration within the meaning of Article L. 430-1 of the Commercial Code. Given the turnover  </w:t>
        <w:br/>
        <w:t xml:space="preserve">achieved by the companies concerned, the operation does not fall under the jurisdiction of the  </w:t>
        <w:br/>
        <w:t xml:space="preserve">European Union. However, the control thresholds mentioned in II of Article L. 430-2 of the  </w:t>
        <w:br/>
        <w:t xml:space="preserve">Commercial Code are exceeded. This operation is therefore subject to the provisions of Articles  </w:t>
        <w:br/>
        <w:t>L. 430-3 and following of the Commercial Code relating to economic concentration.</w:t>
      </w:r>
    </w:p>
    <w:p>
      <w:r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24-338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