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https://www.autoritedelaconcurrence.fr/fr/decision-de-controle-des-concentrations/relative-la-prise-de-controle-conjoint-des-societes-cejusyl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19-DCC-166 of August 26, 2019  </w:t>
        <w:br/>
        <w:t xml:space="preserve">regarding the joint control acquisition of the companies Cejusyl and Leode  </w:t>
        <w:br/>
        <w:t xml:space="preserve">by the companies ITM Entreprises and Esperelot  </w:t>
        <w:br/>
        <w:t xml:space="preserve">The Competition Authority,  </w:t>
        <w:br/>
        <w:t xml:space="preserve">Having regard to the complete notification file submitted to the mergers department on July 22, 2019,  </w:t>
        <w:br/>
        <w:t xml:space="preserve">concerning the joint control acquisition of the companies Cejusyl and Leode by the companies ITM  </w:t>
        <w:br/>
        <w:t xml:space="preserve">Entreprises and Esperelot, and formalized by two letters of intent signed on  </w:t>
        <w:br/>
        <w:t xml:space="preserve">July 1,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ITM Entreprises  </w:t>
        <w:br/>
        <w:t xml:space="preserve">and Esperelot of the companies Cejusyl and Leode, which each operate a food-dominant retail outlet of  </w:t>
        <w:br/>
        <w:t xml:space="preserve">supermarket type under the Intermarché brand, with respective areas of 1,600 m² and 980 m², located in  </w:t>
        <w:br/>
        <w:t xml:space="preserve">Prayssac (46) and Puy-L’évêque (46). It constitutes a concentration operation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On the other hand, the retail  </w:t>
        <w:br/>
        <w:t xml:space="preserve">control thresholds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19-199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