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https://www.autoritedelaconcurrence.fr/fr/decision-de-controle-des-concentrations/relative-la-prise-de-controle-conjoint-des-societes-cynell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13-DCC-15 of February 8, 2013  </w:t>
        <w:br/>
        <w:t xml:space="preserve">regarding the joint control acquisition of the companies Cynell, Difo, and  </w:t>
        <w:br/>
        <w:t xml:space="preserve">Distribution Saint Marc by the company ITM Entreprises and the Decoene group  </w:t>
        <w:br/>
        <w:t xml:space="preserve">The Competition Authority,  </w:t>
        <w:br/>
        <w:t xml:space="preserve">Having regard to the complete notification file submitted to the mergers department on January 15, 2013,  </w:t>
        <w:br/>
        <w:t xml:space="preserve">concerning the joint control acquisition of the companies Cynell, Difo, and Distribution Saint Marc by  </w:t>
        <w:br/>
        <w:t xml:space="preserve">the company ITM Entreprises and the Decoene group, formalized by a transfer agreement dated December 11,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ITM Entreprises and  </w:t>
        <w:br/>
        <w:t xml:space="preserve">the Decoene group of the companies Cynell, Difo, and Distribution Saint Marc, which operate  </w:t>
        <w:br/>
        <w:t xml:space="preserve">retail businesses primarily focused on food distribution, under the Intermarché brand,  </w:t>
        <w:br/>
        <w:t xml:space="preserve">located respectively in Sotteville les Rouen, Darnetal, and Rouen (76).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13-008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