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https://www.autoritedelaconcurrence.fr/fr/decision-de-controle-des-concentrations/relative-la-prise-de-controle-conjoint-des-societes-cyrlau</w:t>
      </w:r>
    </w:p>
    <w:p>
      <w:r>
        <w:t>Pages translated : 2</w:t>
      </w:r>
    </w:p>
    <w:p/>
    <w:p>
      <w:r>
        <w:rPr>
          <w:b/>
        </w:rPr>
        <w:t>[Pages 1–2]</w:t>
      </w:r>
    </w:p>
    <w:p>
      <w:r>
        <w:t xml:space="preserve">FRENCH REPUBLIC  </w:t>
        <w:br/>
        <w:t xml:space="preserve">Decision No. 16-DCC-29 of February 25, 2016  </w:t>
        <w:br/>
        <w:t xml:space="preserve">regarding the joint control acquisition of the companies Cyrlau and Codism  </w:t>
        <w:br/>
        <w:t xml:space="preserve">by the company Système U centrale régionale Est alongside Mr. Cyril  </w:t>
        <w:br/>
        <w:t>Bonnier</w:t>
      </w:r>
    </w:p>
    <w:p>
      <w:r>
        <w:t>The Competition Authority,</w:t>
      </w:r>
    </w:p>
    <w:p>
      <w:r>
        <w:t xml:space="preserve">Having regard to the complete notification file sent to the mergers department on February 4, 2016,  </w:t>
        <w:br/>
        <w:t xml:space="preserve">concerning the joint control acquisition of the companies Cyrlau and Codism by Mr. Cyril Bonnier and the  </w:t>
        <w:br/>
        <w:t>company Système U centrale régionale Est, materialized by a draft withdrawal protocol annexed to the probationary protocol concerning the Sainte-Menehould site dated September 2, 2015, and the draft amended statutes of the companies Cyrlau and Codism;</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joint control acquisition of the companies Cyrlau and Codism,  </w:t>
        <w:br/>
        <w:t xml:space="preserve">operating in Sainte-Menehould (51) a food-dominant point of sale under the U brand by the company Système U centrale régionale Est, alongside Mr. Cyril Bonnier. It constitutes a concentration operation within the meaning of Article L. 430-1 of the Commercial Code. Given the revenues generated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15-149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