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https://www.autoritedelaconcurrence.fr/fr/decision-de-controle-des-concentrations/relative-la-prise-de-controle-conjoint-des-societes-dony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26-DCC-65 of March 5, 2026</w:t>
        <w:br/>
        <w:t>regarding the joint control acquisition of the companies Dony Combustibles,</w:t>
        <w:br/>
        <w:t>CCD Energies, GED Energies, and 2E immobilier</w:t>
        <w:br/>
        <w:t>by the companies CFP Energy and Probe Co</w:t>
        <w:br/>
        <w:t>The Competition Authority,</w:t>
        <w:br/>
        <w:t>Having regard to the complete notification file submitted to the mergers department on February 18, 2026,</w:t>
        <w:br/>
        <w:t>concerning the joint control acquisition of the companies Dony Combustibles, CCD Energies,</w:t>
        <w:br/>
        <w:t>GED Energies, and 2E Immobilier by the companies CFP Energy and Probe Co, formalized by a</w:t>
        <w:br/>
        <w:t>letter of intent dated December 22,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joint control acquisition of the companies Dony Combustibles,</w:t>
        <w:br/>
        <w:t>CCD Energies, GED Energies, and 2E Immobilier, which belong to the group</w:t>
        <w:br/>
        <w:t>Europenergie Distribution, by the companies CFP Energy and Probe Co. The parties are</w:t>
        <w:br/>
        <w:t>notably active in the sector of the distribution of petroleum products and biofuels.</w:t>
        <w:br/>
        <w:t>The operation constitutes a concentration operation within the meaning of Article L. 430-1 of the Commercial Code. Given the turnover achieved by the companies concerned,</w:t>
        <w:br/>
        <w:t>the operation does not fall under the jurisdiction of the European Union. However, the control thresholds mentioned in I of Article L. 430-2 of the Commercial Code are exceeded. This</w:t>
        <w:br/>
        <w:t>operation is therefore subject to the provisions 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25-297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