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https://www.autoritedelaconcurrence.fr/fr/decision-de-controle-des-concentrations/relative-la-prise-de-controle-conjoint-des-societes-eole</w:t>
      </w:r>
    </w:p>
    <w:p>
      <w:r>
        <w:t>Pages translated : 5</w:t>
      </w:r>
    </w:p>
    <w:p/>
    <w:p>
      <w:r>
        <w:rPr>
          <w:b/>
        </w:rPr>
        <w:t>[Pages 1–3]</w:t>
      </w:r>
    </w:p>
    <w:p>
      <w:r>
        <w:t xml:space="preserve">FRENCH REPUBLIC  </w:t>
        <w:br/>
        <w:t xml:space="preserve">Decision No. 17-DCC-16 of February 8, 2017  </w:t>
        <w:br/>
        <w:t>regarding the joint control of the companies Eole Moulin Tizon, Eole Brocéliande, Eoliennes de l’Ourcq and du Clignon by the companies Predica Prévoyance, Omnes Capital and Quadran</w:t>
      </w:r>
    </w:p>
    <w:p>
      <w:r>
        <w:t xml:space="preserve">The Competition Authority,  </w:t>
        <w:br/>
        <w:t xml:space="preserve">Having regard to the notification file submitted in full to the merger service on January 11, 2017, regarding the joint control of the companies Eole Moulin Tizon, Eole Brocéliande, Eoliennes de l’Ourcq and du Clignon by the companies Predica Prévoyance, Omnes Capital and Quadran, formalized by a launch letter dated December 22,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Predica Prévoyance Dialogue of Crédit Agricole (hereinafter, "Predica Prévoyance") is a 100% subsidiary of the Crédit Agricole group. It is primarily active in the insurance sector. The Crédit Agricole group offers a wide range of banking and insurance services and is also active in the real estate sector.  </w:t>
        <w:br/>
        <w:t xml:space="preserve">2. Omnes Capital is an independent portfolio management company. Omnes Capital's activity is the management of investment vehicles dedicated to equity stakes in primarily unlisted companies. The companies controlled by Omnes Capital operate in various sectors, such as road freight transport, delivery services, software publishing, and renewable energy infrastructure.  </w:t>
        <w:br/>
        <w:t>3. The Quadran group is exclusively controlled by Mr. [X]. The Quadran group is an independent producer of green energy active in France. It operates in the fields of wind, photovoltaic, hydraulic, biogas, and biomass energy. The Quadran group is present across the entire electricity production chain, from site identification and design to the operation of power plants.</w:t>
      </w:r>
    </w:p>
    <w:p>
      <w:r>
        <w:t xml:space="preserve">4. The companies Eole Moulin Tizon, Eole Brocéliande, Eoliennes de l’Ourcq and du Clignon (collectively "the target companies") hold wind farms. They are currently 100% owned by the Quadran group.  </w:t>
        <w:br/>
        <w:t xml:space="preserve">5. The transaction, formalized by a launch letter dated December 22, 2016, involves the acquisition by the company Quadrica, jointly controlled by Predica Prévoyance, Omnes Capital, and Quadran, of the companies Eole Moulin Tizon, Eole Brocéliande, Eoliennes de l’Ourcq and du Clignon (hereinafter, "target companies").  </w:t>
        <w:br/>
        <w:t xml:space="preserve">6. As it results in the joint control of the target companies by Predica Prévoyance, Omnes Capital, and Quadran, the transaction constitutes a concentration operation within the meaning of Article L. 430-1 of the Commercial Code.  </w:t>
        <w:br/>
        <w:t>7. The concerned companies together generate a total turnover excluding taxes on a global scale of more than 150 million euros (Crédit Agricole group: […] euros for the fiscal year ending December 31, 2015; Omnes Capital: […] euros for the same fiscal year; Quadran group: […] euros for the same fiscal year; target companies: […] euros for the same fiscal year). The Crédit Agricole group, Omnes Capital, and the Quadran group each generated in France a turnover exceeding 50 million euros (Crédit Agricole group: […] euros for the fiscal year ending December 31, 2015; Omnes Capital: […] euros for the same fiscal year; Quadran: […] euros for the same fiscal year). Given these turnover figures, the thresholds set out in Article 1, paragraph 2, a) and b) of Council Regulation (EC) No. 139/2004 of January 20, 2004 are met. However, since each of the concerned companies generates more than two-thirds of its turnover within the European Union in France, the transaction does not fall under the jurisdiction of the European Commission.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8. Omnes Capital, Quadran, and the target companies are simultaneously active in the market for the production and wholesale sale of electricity (A). Quadran is also active in the upstream market for the development, construction, and management of wind farms (B) and in the downstream market for the retail supply of electricity (C).  </w:t>
        <w:br/>
        <w:t xml:space="preserve">A. THE MARKET FOR THE PRODUCTION AND WHOLESALE SALE OF ELECTRICITY  </w:t>
        <w:br/>
        <w:t xml:space="preserve">1. PRODUCT MARKET  </w:t>
        <w:br/>
        <w:t xml:space="preserve">9. The decisional practice has recognized the existence of a market for the production and wholesale sale of electricity, these two activities forming a single market. This market includes domestic electricity production as well as electricity physically imported via interconnections for resale to retailers, traders, and, to a lesser extent, large industrial end consumers.  </w:t>
        <w:br/>
        <w:t xml:space="preserve">10. On the supply side, the market players are electricity producers, importers, and traders.  </w:t>
        <w:br/>
        <w:t xml:space="preserve">2. GEOGRAPHIC MARKET  </w:t>
        <w:br/>
        <w:t xml:space="preserve">11. Decision-making practice considers the market for production and wholesale sale as being national in scope, particularly due to the weakness of interconnections between neighboring States.  </w:t>
        <w:br/>
        <w:t xml:space="preserve">B. THE UPSTREAM MARKET FOR THE DEVELOPMENT, CONSTRUCTION, AND MANAGEMENT OF WIND FARMS  </w:t>
        <w:br/>
        <w:t xml:space="preserve">12. The European Commission has defined the upstream market for the development, construction, and management (or "promotion") of wind farms as: "essentially comprising the following stages: (i) site selection and assessment of wind conditions, (ii) administrative procedures and environmental permits, (iii) acquisition of necessary rights on the site and generators, (iv) license to connect the wind farm to the transmission network, (v) construction, and (vi) commissioning."  </w:t>
        <w:br/>
        <w:t xml:space="preserve">13. The Commission has considered, while leaving the question open, two alternative scopes for this market, targeting either (i) the development and management of wind farms for internal use or for sale to third parties, or (ii) the development and management of wind farms exclusively for sale to third parties.  </w:t>
        <w:br/>
        <w:t xml:space="preserve">14. In this case, the question of the precise definition of the market for the development, construction, and management of wind farms can be left open as the transaction does not raise any competition issues regardless of the market definition adopted.  </w:t>
        <w:br/>
        <w:t xml:space="preserve">C. THE MARKET FOR THE RETAIL SUPPLY OF ELECTRICITY  </w:t>
        <w:br/>
        <w:t xml:space="preserve">1. PRODUCT MARKET  </w:t>
        <w:br/>
        <w:t>15. The decisional practice has delineated several customer segments in France based on annual consumption (GWh) and the power supported by the connection to the grid (kVA): (i) large industrial customers whose annual consumption exceeds 7 GWh, (ii) small industrial and commercial customers whose annual consumption is less than 7 GWh, (iii) small professional clients with a connection power less than 36 kVA.</w:t>
      </w:r>
    </w:p>
    <w:p>
      <w:r>
        <w:rPr>
          <w:b/>
        </w:rPr>
        <w:t>[Pages 4–5]</w:t>
      </w:r>
    </w:p>
    <w:p>
      <w:r>
        <w:t xml:space="preserve">7 GWh but having a connection power greater than 36 kVA, (iii) small professional clients having a connection power less than 36 kVA.  </w:t>
        <w:br/>
        <w:t xml:space="preserve">16. The decisional practice has also considered an alternative distinction. Indeed, the Energy Regulation Commission distinguishes customers in the electricity market in France based on the subscribed power and makes a distinction between (i) small non-residential sites, having a subscribed power less than 36 kVA, (ii) medium-sized non-residential sites having a subscribed power greater than 36 kVA but less than 250 KW, and (iii) large non-residential sites with a subscribed power greater than 250 KW7.  </w:t>
        <w:br/>
        <w:t xml:space="preserve">17. In this case, the question of the exact delimitation of the retail electricity supply markets may be left open insofar as, regardless of the assumption retained, the conclusions of the competitive analysis will remain unchanged.  </w:t>
        <w:br/>
        <w:t xml:space="preserve">2. GEOGRAPHIC MARKET  </w:t>
        <w:br/>
        <w:t xml:space="preserve">18. The decisional practice has considered the electricity supply markets as being national in scope8.  </w:t>
        <w:br/>
        <w:t xml:space="preserve">III. Competitive Analysis  </w:t>
        <w:br/>
        <w:t xml:space="preserve">19. The activities of the parties overlap only in the market for the production and wholesale sale of electricity. In this market, the market share of the new entity will be less than [0-5]%, far behind the market leader, EDF, which represents more than 70% of installed production capacity and more than 80% of production. The new entity will also face competition from large energy groups such as Engie, CNR, and E.ON.  </w:t>
        <w:br/>
        <w:t xml:space="preserve">20. Quadran is also active in the upstream market for the development, construction, and management of wind farms and in the downstream market for retail electricity supply. In each of these markets, Quadran's market share is less than [0-5]%, regardless of the segmentation retained. Given these market shares, any risk of lock-in related to the strengthening of the vertical integration of the new entity can be ruled out.  </w:t>
        <w:br/>
        <w:t xml:space="preserve">21. Consequently, the transaction is not likely to harm competition.  </w:t>
        <w:br/>
        <w:t xml:space="preserve">7 Decisions COMP/M.7137 and COMP/M.4994, cited above, and decision n°16-DCC-153, cited above.  </w:t>
        <w:br/>
        <w:t xml:space="preserve">8 Decisions COMP/M.7137 and COMP/M.4994, cited above, and decisions n° 09-DCC-28 of the Competition Authority dated July 30, 2009 Poweo/Verbund and n° 11-DCC-142 of the Competition Authority dated September 22, 2011 regarding the exclusive control of the company Poweo by the company Direct Energie.  </w:t>
        <w:br/>
        <w:t xml:space="preserve">DECIDES  </w:t>
        <w:br/>
        <w:t xml:space="preserve">Sole Article: The operation notified under number 16-275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