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https://www.autoritedelaconcurrence.fr/fr/decision-de-controle-des-concentrations/relative-la-prise-de-controle-conjoint-des-societes-gablin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REPUBLIC OF FRANCE</w:t>
        <w:br/>
        <w:t>Decision No. 19-DCC-234 of December 4, 2019</w:t>
        <w:br/>
        <w:t>regarding the joint control acquisition of the companies Gablin and Buterfly</w:t>
        <w:br/>
        <w:t>by the companies ITM Entreprises and 2M2L</w:t>
        <w:br/>
        <w:t>The Competition Authority,</w:t>
        <w:br/>
        <w:t>Having regard to the complete notification file submitted to the mergers department on October 30, 2019,</w:t>
        <w:br/>
        <w:t>concerning the joint control acquisition by the companies ITM Entreprises and 2M2L of the companies</w:t>
        <w:br/>
        <w:t>Gablin and Buterfly, formalized by a letter of intent dated September 16, 2019;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parties during the investigation;</w:t>
        <w:br/>
        <w:t>Adopts the following decision:</w:t>
        <w:br/>
        <w:t>1. The notified operation consists of the joint control acquisition by the companies 2M2L and</w:t>
        <w:br/>
        <w:t>ITM Entreprises of the companies Gablin and Buterfly, each operating a food-dominant business under the Intermarché brand, with a surface area of 2,200 m² located in Hersin Coupigny (62) for the first and 468 m² located in Sains en Gohelle (62) for the second. It constitutes a concentration operation within the meaning of Article L. 430-1 of the Commercial Code. Given the turnover generated by the companies concerned,</w:t>
        <w:br/>
        <w:t>the operation does not fall under the jurisdiction of the European Union. However, the control thresholds related to retail trade mentioned in point II of Article L. 430-2 of the Commercial Code are exceeded. This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19-279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