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https://www.autoritedelaconcurrence.fr/fr/decision-de-controle-des-concentrations/relative-la-prise-de-controle-conjoint-des-societes-givale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12-DCC-05 of January 20, 2012  </w:t>
        <w:br/>
        <w:t xml:space="preserve">regarding the joint control acquisition of the companies Givale and Jouffi by  </w:t>
        <w:br/>
        <w:t>ITM Entreprises</w:t>
      </w:r>
    </w:p>
    <w:p>
      <w:r>
        <w:t>The Competition Authority,</w:t>
      </w:r>
    </w:p>
    <w:p>
      <w:r>
        <w:t xml:space="preserve">Having regard to the complete notification file sent to the mergers department on  </w:t>
        <w:br/>
        <w:t xml:space="preserve">December 23, 2011, concerning the joint control acquisition of the companies Givale and Jouffi by ITM  </w:t>
        <w:br/>
        <w:t>Entreprises, materialized by a draft of statutes signed on September 20, 2011;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joint control acquisition of the companies Givale and Jouffi,  </w:t>
        <w:br/>
        <w:t>which operate food-dominant retail outlets under the Intermarché brand in the city of Vienne (38), with respective areas of 2,247 m² and 1,160 m², by the company ITM Entreprises.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11-253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