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https://www.autoritedelaconcurrence.fr/fr/decision-de-controle-des-concentrations/relative-la-prise-de-controle-conjoint-des-societes-guyanne</w:t>
      </w:r>
    </w:p>
    <w:p>
      <w:r>
        <w:t>Pages translated : 2</w:t>
      </w:r>
    </w:p>
    <w:p/>
    <w:p>
      <w:r>
        <w:rPr>
          <w:b/>
        </w:rPr>
        <w:t>[Pages 1–2]</w:t>
      </w:r>
    </w:p>
    <w:p>
      <w:r>
        <w:t xml:space="preserve">FRENCH REPUBLIC  </w:t>
        <w:br/>
        <w:t xml:space="preserve">Decision No. 20-DCC-70 of May 27, 2020  </w:t>
        <w:br/>
        <w:t xml:space="preserve">regarding the joint control acquisition of the companies Guy’anne and Virbert  </w:t>
        <w:br/>
        <w:t xml:space="preserve">by the companies Sesyclau and ITM Entreprises  </w:t>
        <w:br/>
        <w:t xml:space="preserve">The Competition Authority,  </w:t>
        <w:br/>
        <w:t xml:space="preserve">Having regard to the complete notification file submitted to the mergers department on April 24, 2020,  </w:t>
        <w:br/>
        <w:t xml:space="preserve">concerning the joint control acquisition of the companies Guy’anne and Virbert by the companies Sesyclau  </w:t>
        <w:br/>
        <w:t xml:space="preserve">and ITM Entreprises, formalized by a share transfer agreement dated  </w:t>
        <w:br/>
        <w:t xml:space="preserve">February 13,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Sesyclau and ITM  </w:t>
        <w:br/>
        <w:t xml:space="preserve">Entreprises of the companies Guy’anne and Virbert, which operate respectively a retail business primarily focused on food of the supermarket type with an area of 1600 m2 and a retail business primarily focused on food of the discount store type with an area of 995 m2, under the brands Intermarché and Netto, both located in Sancoins (18). It constitutes a concentration operation within the meaning of Article L. 430-1 of the Commercial Code. Given the revenues generated by the companies concerned, the operation does not fall under the jurisdiction of the European Union. On the other hand, the thresholds for control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20-046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