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https://www.autoritedelaconcurrence.fr/fr/decision-de-controle-des-concentrations/relative-la-prise-de-controle-conjoint-des-societes-gwen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12-DCC-89 of June 29, 2012  </w:t>
        <w:br/>
        <w:t xml:space="preserve">regarding the joint control acquisition of the companies Gwen Ran and  </w:t>
        <w:br/>
        <w:t xml:space="preserve">Croisic Distribution by ITM Entreprises and the Brillaut consortium  </w:t>
        <w:br/>
        <w:t xml:space="preserve">The Competition Authority,  </w:t>
        <w:br/>
        <w:t xml:space="preserve">Having regard to the complete notification file sent to the mergers department on May 30, 2012,  </w:t>
        <w:br/>
        <w:t xml:space="preserve">concerning the joint control acquisition of the companies Gwen Ran and Croisic Distribution by ITM  </w:t>
        <w:br/>
        <w:t xml:space="preserve">Entreprises and the Brillaut consortium, materialized by draft statutes and a draft share transfer agreement dated April 20,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transition from exclusive control of Croisic Distribution by  </w:t>
        <w:br/>
        <w:t xml:space="preserve">the Brillaut consortium and of Gwen Ran by ITM Entreprises, via its subsidiary ITM  </w:t>
        <w:br/>
        <w:t xml:space="preserve">Alimentaire Ouest, to joint control of these two companies by the Brillaut consortium and ITM  </w:t>
        <w:br/>
        <w:t xml:space="preserve">Entreprises. Gwen Ran and Croisic Distribution operate food retail businesses under the Intermarché brand, with respective areas of 1,700 m² and  </w:t>
        <w:br/>
        <w:t xml:space="preserve">2,425 m², located in the towns of Guérande (44) and Le Croisic (44). This operation constitutes  </w:t>
        <w:br/>
        <w:t xml:space="preserve">a concentration operation within the meaning of Article L. 430-1 of the Commercial Code. Given  </w:t>
        <w:br/>
        <w:t xml:space="preserve">the turnover achieved by the companies concerned, the operation does not have a  </w:t>
        <w:br/>
        <w:t xml:space="preserve">community dimension. On the other hand, the control thresholds related to retail trade  </w:t>
        <w:br/>
        <w:t xml:space="preserve">mentioned in point II of Article L. 430-2 of the Commercial Code are exceeded. This  </w:t>
        <w:br/>
        <w:t xml:space="preserve">operation is therefore subject to the provisions of Articles L. 430-3 and 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12-094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