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https://www.autoritedelaconcurrence.fr/fr/decision-de-controle-des-concentrations/relative-la-prise-de-controle-conjoint-des-societes-leman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22-DCC-237 of December 1, 2022  </w:t>
        <w:br/>
        <w:t xml:space="preserve">regarding the joint control acquisition of the companies Leman Daitomi and  </w:t>
        <w:br/>
        <w:t xml:space="preserve">Tomiya by the companies Toscane and ITM Entreprises  </w:t>
        <w:br/>
        <w:t xml:space="preserve">The Competition Authority,  </w:t>
        <w:br/>
        <w:t xml:space="preserve">Having regard to the complete notification file sent to the mergers department on November 15,  </w:t>
        <w:br/>
        <w:t xml:space="preserve">2022, concerning the joint control acquisition of the companies Leman Daitomi and Tomiya by the  </w:t>
        <w:br/>
        <w:t xml:space="preserve">companies Toscane and ITM Entreprises, formalized by two sales agreements of the companies  </w:t>
        <w:br/>
        <w:t xml:space="preserve">Leman Daitomi and Tomiya dated November 7,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joint control acquisition by the companies Toscane1 and ITM  </w:t>
        <w:br/>
        <w:t xml:space="preserve">Entreprises of the companies Leman Daitomi and Tomiya. The former operates, respectively, a  </w:t>
        <w:br/>
        <w:t xml:space="preserve">commercial establishment primarily engaged in food distribution of the hypermarket type for the company  </w:t>
        <w:br/>
        <w:t xml:space="preserve">Leman Daitomi under the brand "Intermarché" with a surface area of 3,900 m² located in Thonon-Les-  </w:t>
        <w:br/>
        <w:t xml:space="preserve">Bains (74) and a commercial establishment primarily engaged in food distribution of the supermarket type2  </w:t>
        <w:br/>
        <w:t xml:space="preserve">for the company Tomiya under the brand "Intermarché" with a surface area of 1,965 m² located in  </w:t>
        <w:br/>
        <w:t xml:space="preserve">Vétraz-Monthoux (74). The operation constitutes a concentration operation within the meaning of  </w:t>
        <w:br/>
        <w:t xml:space="preserve">Article L. 430-1 of the Commercial Code. Given the turnover achieved by the companies concerned, the  </w:t>
        <w:br/>
        <w:t xml:space="preserve">operation does not fall under the jurisdiction of the European Union. However, the control thresholds  </w:t>
        <w:br/>
        <w:t xml:space="preserve">related to retail trade mentioned in II of Article L. 430-2 of the Commercial Code are exceeded. This  </w:t>
        <w:br/>
        <w:t xml:space="preserve">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competition in the relevant  </w:t>
        <w:br/>
        <w:t xml:space="preserve">markets.  </w:t>
        <w:br/>
        <w:t xml:space="preserve">1 It is planned that the company will be substituted by the company currently being established Mallorca.  </w:t>
        <w:br/>
        <w:t>2 An extension of the point of sale is planned to reach 3,250 m².</w:t>
      </w:r>
    </w:p>
    <w:p>
      <w:r>
        <w:t xml:space="preserve">DECIDES  </w:t>
        <w:br/>
        <w:t xml:space="preserve">Sole Article: The operation notified under number 22-294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