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https://www.autoritedelaconcurrence.fr/fr/decision-de-controle-des-concentrations/relative-la-prise-de-controle-conjoint-des-societes-les</w:t>
      </w:r>
    </w:p>
    <w:p>
      <w:r>
        <w:t>Pages translated : 5</w:t>
      </w:r>
    </w:p>
    <w:p/>
    <w:p>
      <w:r>
        <w:rPr>
          <w:b/>
        </w:rPr>
        <w:t>[Pages 1–3]</w:t>
      </w:r>
    </w:p>
    <w:p>
      <w:r>
        <w:t xml:space="preserve">FRENCH REPUBLIC  </w:t>
        <w:br/>
        <w:t xml:space="preserve">Decision No. 16-DCC-189 of November 29, 2016  </w:t>
        <w:br/>
        <w:t>regarding the joint control of the companies Les Moulins à Vent de Kermadéen and Eoliennes de la Chaussée Brunehault 3 by the companies Predica Prévoyance, Omnes Capital, and Quadran</w:t>
      </w:r>
    </w:p>
    <w:p>
      <w:r>
        <w:t xml:space="preserve">The Competition Authority,  </w:t>
        <w:br/>
        <w:t xml:space="preserve">Having regard to the notification file submitted in full to the concentration service on October 26, 2016, regarding the joint control of the companies Les Moulins à Vent de Kermadéen and Eoliennes de la Chaussée Brunehault 3 by the companies Predica Prévoyance, Omnes Capital, and Quadran, formalized by a launch letter dated October 21, 2016;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Predica Prévoyance Dialogue du Crédit Agricole (hereinafter, "Predica Prévoyance") is a 100% subsidiary of the Crédit Agricole group. Predica is primarily active in the insurance sector. The Crédit Agricole group offers a wide range of banking and insurance services. It is also active in the real estate sector.  </w:t>
        <w:br/>
        <w:t xml:space="preserve">2. Omnes Capital is an independent portfolio management company. Omnes Capital's activity involves managing investment vehicles dedicated to acquiring stakes in primarily unlisted companies. The companies controlled by Omnes Capital operate in various sectors, such as mobile telephony, IT hosting, healthcare, infrastructure, renewable energies, construction, personal and business services, and industry.  </w:t>
        <w:br/>
        <w:t xml:space="preserve">3. The Quadran group is exclusively controlled by Mr. [X]. The Quadran group is an independent producer of green energy active in France. It operates in the fields of wind, photovoltaic, hydraulic, biogas, and biomass energy. The Quadran group is present throughout the entire electricity production chain, from site identification and design to the operation of power plants.  </w:t>
        <w:br/>
        <w:t xml:space="preserve">4. The companies Les Moulins à Vent de Kermadéen (hereinafter, "LMVK") and Eoliennes de la Chaussée Brunehault 3 (hereinafter, "LCB 3") own wind farms. They are currently 100% owned by the Quadran group.  </w:t>
        <w:br/>
        <w:t xml:space="preserve">5. The operation, formalized by a launch letter dated October 21, 2016, involves the acquisition by the company Quadrica, jointly controlled by Predica Prévoyance, Omnes Capital, and Quadran, of the companies LMVK and LCB 3.  </w:t>
        <w:br/>
        <w:t xml:space="preserve">6. As it results in the joint control of LMVK and LCB 3 by Predica Prévoyance, Omnes Capital, and Quadran, the operation constitutes a concentration operation within the meaning of Article L. 430-1 of the Commercial Code.  </w:t>
        <w:br/>
        <w:t>7. The companies concerned together achieve a total turnover excluding taxes on a global scale of more than 150 million euros (Crédit Agricole: […] euros for the fiscal year ending December 31, 2015; Omnes Capital: […] euros for the same fiscal year; Quadran: 90 million euros for the same fiscal year; LMVK and LCB 3: […] euros for the same fiscal year). Crédit Agricole, Omnes Capital, and Quadran each achieved in France a turnover exceeding 50 million euros (Crédit Agricole: […] euros for the fiscal year ending December 31, 2015; Omnes Capital: […] euros for the same fiscal year; Quadran: […] euros for the same fiscal year). Insofar as each of the companies concerned generates in France more than two-thirds of its total turnover within the European Union,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8. Omnes Capital, Quadran, LMVK, and LCB 3 simultaneously operate in the production and wholesale sale of electricity (A). Quadran is also active in the upstream market of development, construction, and management of wind farms (B) and in the downstream market of retail electricity supply (C).</w:t>
      </w:r>
    </w:p>
    <w:p>
      <w:r>
        <w:t xml:space="preserve">A. THE MARKET FOR THE PRODUCTION AND WHOLESALE SALE OF ELECTRICITY  </w:t>
        <w:br/>
        <w:t xml:space="preserve">1. PRODUCT MARKETS  </w:t>
        <w:br/>
        <w:t xml:space="preserve">9. Decision-making practice has recognized the existence of a market for the production and wholesale sale of electricity, these two activities forming a single market. This market includes domestic electricity production as well as electricity physically imported via interconnections for resale to retailers, traders, and, to a lesser extent, large industrial end consumers.  </w:t>
        <w:br/>
        <w:t>10. On the supply side, the market participants are electricity producers, importers, and traders.</w:t>
      </w:r>
    </w:p>
    <w:p>
      <w:r>
        <w:t xml:space="preserve">2. GEOGRAPHIC MARKET  </w:t>
        <w:br/>
        <w:t>11. Decision-making practice considers the market for production and wholesale sale as being of national dimension, particularly due to the weakness of interconnections between neighboring states.</w:t>
      </w:r>
    </w:p>
    <w:p>
      <w:r>
        <w:t xml:space="preserve">B. UPSTREAM MARKET OF DEVELOPMENT, CONSTRUCTION, AND MANAGEMENT OF WIND FARMS  </w:t>
        <w:br/>
        <w:t xml:space="preserve">12. The European Commission has defined the upstream market of development, construction, and management (or "promotion") of wind farms as: "essentially comprising the following stages: (i) site selection and wind condition assessment, (ii) administrative procedures and environmental permits, (iii) acquisition of necessary rights on the site and generators, (iv) license to connect the wind farm to the transmission network, (v) construction, and (vi) commissioning."  </w:t>
        <w:br/>
        <w:t xml:space="preserve">13. The Commission has considered, while leaving the question open, two alternative scopes for this market, aiming either (i) at the development and management of wind farms for internal use or for sale to third parties, or (ii) at the development and management of wind farms exclusively for sale to third parties.  </w:t>
        <w:br/>
        <w:t>14. In this case, the question of the precise definition of the market for the development, construction, and management of wind farms can be left open as the operation does not raise any competition issues regardless of the market definition adopted.</w:t>
      </w:r>
    </w:p>
    <w:p>
      <w:r>
        <w:t xml:space="preserve">C. THE MARKET FOR RETAIL ELECTRICITY SUPPLY  </w:t>
        <w:br/>
        <w:t xml:space="preserve">1. PRODUCT MARKETS  </w:t>
        <w:br/>
        <w:t>15. Decision-making practice has delineated several customer segments in France based on annual consumption (GWh) and the power supported by the connection to the network (kVA): (i) large industrial customers whose annual consumption exceeds 7 GWh, (ii) small industrial and commercial customers whose annual consumption is less than 7 GWh but with a connection power exceeding 36 kVA, (iii) small professional customers with a connection power of less than 36 kVA.</w:t>
      </w:r>
    </w:p>
    <w:p>
      <w:r>
        <w:rPr>
          <w:b/>
        </w:rPr>
        <w:t>[Pages 4–5]</w:t>
      </w:r>
    </w:p>
    <w:p>
      <w:r>
        <w:t>16. The decision-making practice has also considered an alternative distinction. Indeed, the Energy Regulation Commission distinguishes customers in the electricity market in France based on the subscribed power and makes a distinction between (i) small non-residential sites with a subscribed power of less than 36 kVA, (ii) medium-sized non-residential sites with a subscribed power greater than 36 kVA but less than 250 KW, and (iii) large non-residential sites with a subscribed power greater than 250 KW.</w:t>
      </w:r>
    </w:p>
    <w:p>
      <w:r>
        <w:t>17. In this case, the question of the exact delimitation of the retail electricity supply markets can be left open insofar as, regardless of the hypothesis adopted, the conclusions of the competitive analysis will remain unchanged.</w:t>
      </w:r>
    </w:p>
    <w:p>
      <w:r>
        <w:t>2. GEOGRAPHIC MARKET</w:t>
      </w:r>
    </w:p>
    <w:p>
      <w:r>
        <w:t>18. The decision-making practice has considered the electricity supply markets as being of national dimension.</w:t>
      </w:r>
    </w:p>
    <w:p>
      <w:r>
        <w:t>III. Competitive Analysis</w:t>
      </w:r>
    </w:p>
    <w:p>
      <w:r>
        <w:t>19. The activities of the parties overlap only in the market for the production and wholesale of electricity. In this market, the market share of the new entity will be less than [0-5]%, far behind the market leader, EDF, which represents more than 70% of installed production capacities and more than 80% of production. The new entity will also face competition from large energy groups such as Engie, CNR, and E.ON.</w:t>
      </w:r>
    </w:p>
    <w:p>
      <w:r>
        <w:t>20. Quadran is also active in the upstream market of development, construction, and management of wind farms and in the downstream market of retail electricity supply. In each of these markets, Quadran's market share is less than [0-5]%, regardless of the segmentation adopted. Given these market shares, any risk of lock-in related to the strengthening of the vertical integration of the new entity can be ruled out.</w:t>
      </w:r>
    </w:p>
    <w:p>
      <w:r>
        <w:t>21. Consequently, the transaction is not likely to harm competition.</w:t>
      </w:r>
    </w:p>
    <w:p>
      <w:r>
        <w:t>DECIDES</w:t>
      </w:r>
    </w:p>
    <w:p>
      <w:r>
        <w:t>Sole Article: The transaction notified under number 16-193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