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https://www.autoritedelaconcurrence.fr/fr/decision-de-controle-des-concentrations/relative-la-prise-de-controle-conjoint-des-societes-logau</w:t>
      </w:r>
    </w:p>
    <w:p>
      <w:r>
        <w:t>Pages translated : 2</w:t>
      </w:r>
    </w:p>
    <w:p/>
    <w:p>
      <w:r>
        <w:rPr>
          <w:b/>
        </w:rPr>
        <w:t>[Pages 1–2]</w:t>
      </w:r>
    </w:p>
    <w:p>
      <w:r>
        <w:t xml:space="preserve">FRENCH REPUBLIC  </w:t>
        <w:br/>
        <w:t xml:space="preserve">Decision No. 20-DCC-148 of October 22, 2020  </w:t>
        <w:br/>
        <w:t xml:space="preserve">regarding the joint control acquisition of the companies Logau and Claidesle  </w:t>
        <w:br/>
        <w:t xml:space="preserve">by the companies Claipie and ITM Entreprises  </w:t>
        <w:br/>
        <w:t xml:space="preserve">The Competition Authority,  </w:t>
        <w:br/>
        <w:t xml:space="preserve">Having regard to the complete notification file submitted to the mergers department on October 2, 2020,  </w:t>
        <w:br/>
        <w:t xml:space="preserve">concerning the joint control acquisition of the companies Logau and Claidesle by the companies Claipie and  </w:t>
        <w:br/>
        <w:t xml:space="preserve">ITM Entreprises, formalized by a purchase promise dated August 24, 2020;  </w:t>
        <w:br/>
        <w:t xml:space="preserve">Having regard to Book IV of the Commercial Code relating to the freedom of prices and competition, and  </w:t>
        <w:br/>
        <w:t xml:space="preserve">notably its Articles L. 430-1 to L. 430-7;  </w:t>
        <w:br/>
        <w:t xml:space="preserve">Having regard to the elements transmitted by the notifying party during the investigation;  </w:t>
        <w:br/>
        <w:t xml:space="preserve">Adopts the following decision:  </w:t>
        <w:br/>
        <w:t xml:space="preserve">1. The notified operation consists of the joint control acquisition by the companies Claipie and ITM  </w:t>
        <w:br/>
        <w:t xml:space="preserve">Enterprises of the companies Logau and Claidesle, which operate food-dominant retail outlets of the supermarket type under the Intermarché brand, respectively with a surface area of 2,380 m² in Calais (62), and 912 m² in Les Attaques (62).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20-200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