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https://www.autoritedelaconcurrence.fr/fr/decision-de-controle-des-concentrations/relative-la-prise-de-controle-conjoint-des-societes-matice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20-DCC-80 of June 19, 2020  </w:t>
        <w:br/>
        <w:t xml:space="preserve">regarding the joint control acquisition of the companies Matice and Saverdis  </w:t>
        <w:br/>
        <w:t xml:space="preserve">by Mr. Garcia and the Cooperative U Enseigne  </w:t>
        <w:br/>
        <w:t xml:space="preserve">The Competition Authority,  </w:t>
        <w:br/>
        <w:t xml:space="preserve">Having regard to the complete notification file submitted to the mergers department on May 27, 2020,  </w:t>
        <w:br/>
        <w:t xml:space="preserve">concerning the joint control acquisition by Mr. Garcia and the Cooperative U Enseigne of the  </w:t>
        <w:br/>
        <w:t xml:space="preserve">companies Matice and Saverdis, formalized by a probationary protocol dated February 6, 2020;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by the Cooperative U Enseigne and  </w:t>
        <w:br/>
        <w:t xml:space="preserve">Mr. Garcia of the companies Matice and Saverdis, which operate a commercial establishment primarily focused on food of the supermarket type under the brand Super U, with an area of 1,850 m²  </w:t>
        <w:br/>
        <w:t xml:space="preserve">and located in Saverne (67). It constitutes a concentration operation within the meaning of Article L. 430-1 of the Commercial Code. Given the revenues generated by the companies involved, the operation does not fall under the jurisdiction of the European Union. On the other hand,  </w:t>
        <w:br/>
        <w:t xml:space="preserve">the retail control thresholds mentioned in point II of Article L. 430-2 of the Commercial Code are exceeded. This operation is therefore subject to the provisions of 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20-079 is authorized.  </w:t>
        <w:br/>
        <w:t xml:space="preserve">The President,  </w:t>
        <w:br/>
        <w:t xml:space="preserve">Isabelle de Silva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