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https://www.autoritedelaconcurrence.fr/fr/decision-de-controle-des-concentrations/relative-la-prise-de-controle-conjoint-des-societes-perodis</w:t>
      </w:r>
    </w:p>
    <w:p>
      <w:r>
        <w:t>Pages translated : 2</w:t>
      </w:r>
    </w:p>
    <w:p/>
    <w:p>
      <w:r>
        <w:rPr>
          <w:b/>
        </w:rPr>
        <w:t>[Pages 1–2]</w:t>
      </w:r>
    </w:p>
    <w:p>
      <w:r>
        <w:t>FRENCH REPUBLIC</w:t>
        <w:br/>
        <w:t>Decision No. 23-DCC-31 of February 8, 2023</w:t>
        <w:br/>
        <w:t>regarding the joint control acquisition of the companies Perodis, Perogros, and</w:t>
        <w:br/>
        <w:t>Distri Carb I by the companies Renaissance and ITM Entreprises</w:t>
        <w:br/>
        <w:t>The Competition Authority,</w:t>
      </w:r>
    </w:p>
    <w:p>
      <w:r>
        <w:t>Having regard to the complete notification file submitted to the mergers department on January 23, 2023,</w:t>
        <w:br/>
        <w:t>concerning the joint control acquisition of the companies Perodis, Perogros, and Distri Carb I by the</w:t>
        <w:br/>
        <w:t>companies Renaissance and ITM Entreprises, formalized by a share transfer agreement dated December 20, 2022;</w:t>
      </w:r>
    </w:p>
    <w:p>
      <w:r>
        <w:t>Having regard to Book IV of the Commercial Code relating to the freedom of prices and competition, and</w:t>
        <w:br/>
        <w:t>notably its Articles L. 430-1 to L. 430-7;</w:t>
      </w:r>
    </w:p>
    <w:p>
      <w:r>
        <w:t>Adopts the following decision:</w:t>
      </w:r>
    </w:p>
    <w:p>
      <w:r>
        <w:t>1. The notified operation consists of the joint control acquisition by the companies Renaissance and</w:t>
        <w:br/>
        <w:t>ITM Entreprises of the companies Perodis, Perogros, and Distri Carb I, which operate</w:t>
        <w:br/>
        <w:t>respectively, commercial establishments primarily focused on food under the Intermarché brand with areas of 6,390 m² and 1,000 m², as well as a service station, located in Péronne (80). It constitutes a concentration operation within the meaning of Article L. 430-1 of the Commercial Code. Given the turnover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22-341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