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https://www.autoritedelaconcurrence.fr/fr/decision-de-controle-des-concentrations/relative-la-prise-de-controle-conjoint-des-societes-raon</w:t>
      </w:r>
    </w:p>
    <w:p>
      <w:r>
        <w:t>Pages translated : 9</w:t>
      </w:r>
    </w:p>
    <w:p/>
    <w:p>
      <w:r>
        <w:rPr>
          <w:b/>
        </w:rPr>
        <w:t>[Pages 1–3]</w:t>
      </w:r>
    </w:p>
    <w:p>
      <w:r>
        <w:t xml:space="preserve">FRENCH REPUBLIC  </w:t>
        <w:br/>
        <w:t xml:space="preserve">Decision No. 14-DCC-140 of September 29, 2014  </w:t>
        <w:br/>
        <w:t xml:space="preserve">regarding the joint control  </w:t>
        <w:br/>
        <w:t xml:space="preserve">of the companies Raon Distribution by the company RBDIS  </w:t>
        <w:br/>
        <w:t xml:space="preserve">alongside the Association of E. Leclerc Distributor Centers  </w:t>
        <w:br/>
        <w:t xml:space="preserve">The Competition Authority,  </w:t>
        <w:br/>
        <w:t xml:space="preserve">Having regard to the notification file sent to the concentrations service on June 26, 2014, and declared complete on August 29, 2014, regarding the joint control of the company Raon Distribution by the company RBDIS alongside the Association of E. Leclerc Distributor Centers, formalized by a share transfer agreement dated July 29,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THE ACQUIRERS AND THE TARGET  </w:t>
        <w:br/>
        <w:t>1. RBDIS is a simplified joint-stock company created for the needs of the operation, predominantly owned by Mr. Razer and Mrs. Razer Derrien (together, the "Razer parties"). The remainder is held by Mr. Luc Brunet and the companies Aldis, Sodirem, Belfi, Apolidis, Bruyeres Distribution, Croixdis, and Scapalsace, which are or represent operating companies of stores under the E. Leclerc brand. The Razer parties do not operate any other retail store with a predominant food focus.</w:t>
      </w:r>
    </w:p>
    <w:p>
      <w:r>
        <w:t xml:space="preserve">2. The Association of E.Leclerc Distributor Centers (hereinafter, the "ACDLec") is the strategic body of the Leclerc movement1, to which all natural persons who manage the operating companies of Leclerc stores are members. The ACDLec notably determines the conditions for approval to the Leclerc movement and signs the brand contracts that must be held by the operators of E.Leclerc retail stores.  </w:t>
        <w:br/>
        <w:t xml:space="preserve">3. Raon Distribution is a simplified joint-stock company operating, under the Leclerc brand, a retail store with a predominant food focus with a sales area of 3,950 m2 located in Raon l'Étape in the department of Vosges (88). Its capital is held at [...]% by the company Holding JPC, whose capital is held at [...]% by Mr. Culot and [...]% by Mrs. Culot Ratti (together, the "Culot parties"), the remainder being held by Messrs. [X], [Y], [Z], and [A], as well as the companies [...].  </w:t>
        <w:br/>
        <w:t xml:space="preserve">4. Raon Distribution holds [90-100]% of the capital of Raon Brico, a simplified joint-stock company operating, under the brand "Brico E. Leclerc," a DIY store with a sales area of 2,995 m2 located in Raon l'Étape in the department of Vosges (88). The remainder of the capital of Raon Brico is held by Mr. Culot, Mr. [X], as well as the companies [...].  </w:t>
        <w:br/>
        <w:t xml:space="preserve">2. CONTROL OF THE CONCERNED ENTITIES  </w:t>
        <w:br/>
        <w:t xml:space="preserve">5. It is argued in the notification of the operation that the ACDLec exercises no control over Raon Distribution and Raon Brico either before or after the operation. Raon Distribution and Raon Brico would therefore currently be exclusively controlled by the Culot parties, and the notified operation would consist of the exclusive control of Raon Distribution and Raon Brico by the Razer parties, via RBDIS.  </w:t>
        <w:br/>
        <w:t xml:space="preserve">6. Nevertheless, as the Competition Authority has noted in previous decisions2, the obligations that the ACDLec imposes on the operating companies allow it to exert a determining influence over them. This analysis of the determining influence exercised by the ACDLec is transposable to the present operation in light of the various contractual documents binding Raon Distribution and Raon Brico to the ACDLec.  </w:t>
        <w:br/>
        <w:t xml:space="preserve">7. Firstly, the ACDLec constitutes a company within the meaning of the provisions of Article L. 430-1 of the Commercial Code insofar as it engages in an economic activity consisting notably, according to the provisions of its statutes3, of (i) defining the brand policy, (ii) protecting and promoting the sign "E.Leclerc Distributor Center," (iii) controlling either for itself or on behalf of any commercial company grouping the Leclerc distributor centers, the conditions of management of the latter or of the E.Leclerc centers associated with them, and (iv) contributing to the creation of any organization likely to promote the activity, solidarity, and security of its members.  </w:t>
        <w:br/>
        <w:t xml:space="preserve">8. Secondly, the ACDLec's joint control over Raon Distribution and Raon Brico, before and after the operation, arises from a set of indicators based notably on the possibility for the ACDLec to intervene in the appointment and dismissal of the president of the operating companies and the members of the sponsorship committees, in the commercial policy of the operating companies, and on the share transfers of the latter.  </w:t>
        <w:br/>
        <w:t xml:space="preserve">The possibility to intervene in the appointment, dismissal, and exclusion of the president of Raon Distribution and Raon Brico  </w:t>
        <w:br/>
        <w:t xml:space="preserve">9. The ACDLec has a veto right over the appointment and exercise of the functions of the president of the companies Raon Distribution and Raon Brico. The statutes4 of these companies provide that a "sponsorship committee"5 appoints (by simple majority) and dismisses (by unanimous vote) the president of each of the companies, while the latter also assumes "the general management of the company." This sponsorship committee also has the right to be communicated all documents and information and to give its opinion on several strategic issues (acquisition or transfer of real estate assets or rights, investment exceeding 1 million euros, company budgets)6.  </w:t>
        <w:br/>
        <w:t xml:space="preserve">10. It follows from these stipulations that the ACDLec is able to exercise, through their sponsorship committees, control over the companies Raon Distribution and Raon Brico. The members of the sponsorship committees are, in addition to the regional supply center Scapalsace, all managing partners of E. Leclerc centers or legal entities whose representative is a manager of an E. Leclerc center7, and thus linked to the ACDLec by sign or brand contracts. The members of the sponsorship committee also provide their endorsement to the managers of E. Leclerc centers within the framework of a sponsorship agreement8, which states "that due to the fundamental assistance provided in various forms by the LECLERC Movement and by the Sponsors of the member, it has been provided (...) for control, monitoring, or decision-making functions in favor of the Sponsors, within the said Company"9. Furthermore, it follows from the sponsorship agreements that the managers of the operating companies will not have any influence on the evolution of the composition of the sponsorship committee in that "the sponsored party refrains from proposing the dismissal of one or more sponsors who are members of the sponsorship committee of [its] company" and "generally refrains from any attitude aimed at, if not for the purpose of, ousting the sponsors"10.  </w:t>
        <w:br/>
        <w:t xml:space="preserve">11. More generally, only members of the ACDLec (or the operating companies they manage) can operate a store under the E.Leclerc brand, join Galec or a general supply cooperative of the Leclerc movement, this status implying being a holder of a sign (or brand) contract signed with the ACDLec11, granting the right to use the E.Leclerc sign. Insofar as the ACDLec is not obliged  </w:t>
        <w:br/>
        <w:t xml:space="preserve">4 Which will remain unchanged after the operation. These statutes correspond to the "standard statutes" of simplified joint-stock companies approved by the ACDLec. In accordance with the charter of Leclerc members, since 2002, any new member of the Leclerc movement must have the operating company of the store it manages adopt statutes of SAS whose model has been validated by the ACDLec (charter of Leclerc members, p20).  </w:t>
        <w:br/>
        <w:t xml:space="preserve">5 Article 16, 13.2 and 13.9 of the statutes.  </w:t>
        <w:br/>
        <w:t xml:space="preserve">6 Articles 13.5, 16.1 and 16.2 of the statutes.  </w:t>
        <w:br/>
        <w:t xml:space="preserve">7 Article 14.1 of the statutes.  </w:t>
        <w:br/>
        <w:t xml:space="preserve">8 The notifying party communicated the sponsorship agreement of Jean Pierre Culot as well as its amendment of July 12, 2007, and the draft sponsorship agreement of Mr. Razer.  </w:t>
        <w:br/>
        <w:t xml:space="preserve">9 Article 4 of the sponsorship agreement of Mr. Culot and the draft sponsorship agreement of Mr. Razer.  </w:t>
        <w:br/>
        <w:t xml:space="preserve">10 Id.  </w:t>
        <w:br/>
        <w:t>11 Article 6 of the statutes of the ACDLec notably provides that "membership in the association necessarily involves signing the contract whose terms have been determined by the board of directors and which defines the conditions for the allocation of the E.Leclerc Distributor Center sign to the member."</w:t>
      </w:r>
    </w:p>
    <w:p>
      <w:r>
        <w:rPr>
          <w:b/>
        </w:rPr>
        <w:t>[Pages 4–6]</w:t>
      </w:r>
    </w:p>
    <w:p>
      <w:r>
        <w:t xml:space="preserve">to grant this right to use the E. Leclerc sign, nor to justify its potential refusals12, and where it can withdraw this right to use the E. Leclerc sign pursuant to stipulations of the sign or plaque contract that allow it a very wide margin of discretion13, ACDLec can control the appointment of the president, as well as the members of the sponsorship committee of the companies Raon Distribution and Raon Brico.  </w:t>
        <w:br/>
        <w:t xml:space="preserve">Intervention in the commercial policy of the operating companies  </w:t>
        <w:br/>
        <w:t xml:space="preserve">12. ACDLec14 imposes, in the plaque contracts, in the charter of the members of the Leclerc movement15, and in directives disseminated by its regional delegates who ensure their proper application16, two sets of obligations. These obligations significantly limit the autonomy of the members in conducting their commercial policy. In this case, these obligations will apply to Mr. Razer as the future president of Raon Distribution, who will conclude a plaque contract with ACDLec once the operation is authorized17.  </w:t>
        <w:br/>
        <w:t xml:space="preserve">13. Firstly, the association receives communication of all documents necessary for assessing the commercial operation of the stores by their managers. Members must therefore send their balance sheet and income statement each year, as well as, monthly, the turnover of the previous month18.  </w:t>
        <w:br/>
        <w:t xml:space="preserve">14. Secondly, ACDLec also imposes, in the brand contracts, obligations that grant it a decisive role in the commercial strategy of the stores. These contracts indeed provide that members cannot apply margins higher than those practiced for wholesale sales and that, in any case, members commit "never to apply a margin higher than those recommended by ACDLec"19. However, the setting of the margin rate is the essential element that conditions the commercial profitability of a large distribution brand. The charter of ACDLec expressly states that each member is required to respect the pricing policy of the Leclerc movement, which constitutes "one of the essential elements of membership in ACDLec. (...) The average index target to be achieved to ensure the overall competitiveness of the brand is 96.5. Every member must strive to meet the set target and, in any case, have a comprehensive index at OPUS lower than 97.5. Non-compliance with this pricing rule leads to the implementation of a disciplinary procedure, a warning from ACDLec penalizes any excess, three consecutive warnings may lead to expulsion from the association"20. It follows that, in practice, ACDLec is indeed able to correct the commercial policy of the operating companies of Leclerc stores.  </w:t>
        <w:br/>
        <w:t xml:space="preserve">15. Furthermore, the brand contracts impose obligations on members that precisely frame their supply, investments, and social policy21. Members are also required not to operate or manage any other commercial enterprise22, even if it has a similar activity. In addition to these obligations imposed by ACDLec in the brand contracts, members of ACDLec are required to comply with the obligations set forth in the charter of the members of the Leclerc movement23, and by directives outlining the brand policy developed by the strategic committee of ACDLec24, and disseminated by its regional delegates25. Any failure to comply with these obligations may justify the withdrawal of the right to use the E. Leclerc sign26.  </w:t>
        <w:br/>
        <w:t xml:space="preserve">The possibility of intervening in the share transfers of the operating companies  </w:t>
        <w:br/>
        <w:t xml:space="preserve">16. The various statutory provisions or contractual stipulations applicable make it difficult to transfer shares of the companies Raon Distribution or Raon Brico to a person outside the Leclerc movement.  </w:t>
        <w:br/>
        <w:t xml:space="preserve">17. Regarding share transfers by the majority shareholder, several obligations provided in the statutes of Raon Distribution and Raon Brico obstruct this:  </w:t>
        <w:br/>
        <w:t xml:space="preserve">- any total or partial transfer of shares held by a partner must be subject to a "prior offer of transfer" to the other partners27; and  </w:t>
        <w:br/>
        <w:t xml:space="preserve">- if the other partners have not expressed their intention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preemptive right. Failing a response within this period, they are deemed to have waived their acquisition28.  </w:t>
        <w:br/>
        <w:t xml:space="preserve">18. Overall, it follows from all the elements mentioned above, and notably from the possibility for ACDLec to intervene in the administration and commercial policy as well as in the share transfers of the companies Raon Distribution and Raon Brico, that ACDLec has the ability to exert a decisive influence over them and will continue to have such influence after the operation.  </w:t>
        <w:br/>
        <w:t xml:space="preserve">20 See p17 of the charter of the members of ACDLec.  </w:t>
        <w:br/>
        <w:t xml:space="preserve">21 See the provisions of paragraph III of the plaque contracts.  </w:t>
        <w:br/>
        <w:t xml:space="preserve">22 See the provisions of paragraphs IV and X of the plaque contracts.  </w:t>
        <w:br/>
        <w:t xml:space="preserve">23 These include the following obligations: obligation of sponsorship and obligation to adopt statutes of SAS whose model has been validated by ACDLec, obligation to respect the social policy of the Leclerc movement, limitation on the number of points of sale that can be operated by a member, and obligation to respect the pricing policy of the Leclerc movement.  </w:t>
        <w:br/>
        <w:t xml:space="preserve">24 See Article 4 - "Development of the brand policy" of the internal regulations of ACDLec.  </w:t>
        <w:br/>
        <w:t xml:space="preserve">25 See the provisions of Article 3 of the internal regulations of ACDLec.  </w:t>
        <w:br/>
        <w:t xml:space="preserve">26 See in particular the provisions of paragraph VIII of the plaque contracts, as well as the provisions on p17 of the charter of the members of the Leclerc movement.  </w:t>
        <w:br/>
        <w:t xml:space="preserve">27 See Article 12.2.4.1 of the statutes of the companies Raon Distribution and Raon Brico.  </w:t>
        <w:br/>
        <w:t xml:space="preserve">28 See Article 12.2.4.2 of the statutes of the companies Raon Distribution and Raon Brico.  </w:t>
        <w:br/>
        <w:t xml:space="preserve">B. THE OPERATION  </w:t>
        <w:br/>
        <w:t xml:space="preserve">19. The present operation, formalized by a share transfer agreement dated July 29, 2014, consists of the acquisition by the Razer parties, via RBDIS, of all the shares of Raon Distribution held by Holding JPC. It will not result in any change of brand, as Mr. Razer has applied to join the Leclerc movement and obtaining his approval is a condition precedent of the operation. As it results in the joint control of the companies Raon Distribution and Raon Brico by RBDIS alongside ACDLec, the notified operation constitutes a concentration within the meaning of Article L.430-1 of the Commercial Code29.  </w:t>
        <w:br/>
        <w:t xml:space="preserve">20. The companies concerned operate retail stores and together achieve a total turnover excluding tax worldwide of more than 75 million euros (Leclerc movement: […] euros for the fiscal year ending December 31, 2013; Raon Distribution: […] euros for the fiscal year ending March 31, 2013). At least two of these companies achieve a turnover in France exceeding 15 million euros in the retail sector (Leclerc movement: […] euros for the fiscal year ending December 31, 2013; Raon Distribution: […] euros for the fiscal year ending March 31, 2013). Given these turnover figures,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21. The markets concerned by the operation fall within the sector of food retail distribution and the sector of DIY product distribution.  </w:t>
        <w:br/>
        <w:t xml:space="preserve">22. According to the constant practice of national and European authorities, two categories of markets can be distinguished in the field of retail distribution. These are the "downstream" markets where companies in the retail sector are in contact with final consumers, and the "upstream" supply markets where companies as buyers are in contact with product manufacturers30.  </w:t>
        <w:br/>
        <w:t xml:space="preserve">29 The notifying party argues that the operation is interdependent with another operation, whereby the company Holding JPC takes control of the company Wintzedis, which operates a hypermarket under the E. Leclerc brand in Wintzenheim. However, operations can only be considered as a single concentration operation if, for each of them, control is acquired by the same company or companies (guidelines of the Competition Authority, §65; consolidated communication of the European Commission under Regulation (EC) No. 139/2004, §41). Since the two operations do not involve the same acquirers, they cannot be considered interdependent.  </w:t>
        <w:br/>
        <w:t xml:space="preserve">30 For food retail distribution: see for example the decisions of the European Commission M.1684, Carrefour / Promodès of January 25, 2000; and M. 2115, Carrefour / GB, of September 28, 2000, as well as the decisions of the Competition Authority No. 11-DCC-45 of March 18, 2011, regarding the acquisition of exclusive control of the business of the Cora Desmarais hypermarket by the company Sodex Desmarais, No. 13-DCC-112, No. 13-DCC-12 and 14-DCC-16 mentioned above.  </w:t>
        <w:br/>
        <w:t>For DIY product retail distribution: see for example the decision of the European Commission .2898 Leroy Merlin / Brico of December 13, 2002, and the decisions of the Competition Authority No. 10-DCC-01 of January 12, 2010, regarding the exclusive control by Mr Bricolage of the company Passerelle and No. 13-DCC-40 of March 27, 2013, regarding the joint control of two businesses of DIY products by the companies La Boîte à Outils SAS and Mr. Bricolage SA.</w:t>
      </w:r>
    </w:p>
    <w:p>
      <w:r>
        <w:rPr>
          <w:b/>
        </w:rPr>
        <w:t>[Pages 7–9]</w:t>
      </w:r>
    </w:p>
    <w:p>
      <w:r>
        <w:t xml:space="preserve">23. In this case, the store operated by Raon Brico is the only one operated under a Leclerc brand regardless of the relevant catchment area (whether it is 15 minutes or even 30 minutes). The operation does not therefore result in overlapping activities in the downstream market for the distribution of DIY articles, which will not be examined in this decision.  </w:t>
        <w:br/>
        <w:t xml:space="preserve">A. THE UPSTREAM SUPPLY MARKETS  </w:t>
        <w:br/>
        <w:t xml:space="preserve">24. Regarding the supply markets, the European Commission31 has recognized the existence of markets of national dimension by major product groups, a delimitation followed by national authorities32.  </w:t>
        <w:br/>
        <w:t xml:space="preserve">25. Finer segmentations have been considered, particularly for DIY articles where the following product groups have been envisaged: decoration, wall coverings, flooring, tiling, tools, hardware and storage, electricity and lighting, sanitary equipment, building materials, carpentry, and gardening.  </w:t>
        <w:br/>
        <w:t xml:space="preserve">26. From a geographical perspective, the consistent decision-making practice of competition authorities considers that the supply markets are of national geographical dimension. However, it should be noted that in some cases, negotiations are conducted at the local or international level.  </w:t>
        <w:br/>
        <w:t xml:space="preserve">27. There is no need to challenge these delimitations in the context of the present operation.  </w:t>
        <w:br/>
        <w:t xml:space="preserve">B. THE DOWNSTREAM MARKETS FOR FOOD DISTRIBUTION  </w:t>
        <w:br/>
        <w:t xml:space="preserve">1. MARKET FOR SERVICES  </w:t>
        <w:br/>
        <w:t xml:space="preserve">28.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  </w:t>
        <w:br/>
        <w:t xml:space="preserve">29. Hypermarkets are usually defined as stores with a predominant food focus with a sales area equal to or greater than 2,500 m², supermarkets as stores with a predominant food focus with a sales area of less than 2,500 m² and greater than 400 m², and convenience stores as stores with a predominant food focus with a sales area33 of less than 400 m² and greater than 120 m². However, it should be recalled that these thresholds31 must be used with caution and may be adapted to the specific case, considering that stores whose area is close to a threshold, either below or above, may be in direct competition in practice34.  </w:t>
        <w:br/>
        <w:t xml:space="preserve">30. In this case, the store operated by Raon Distribution is a hypermarket occupying a sales area of 3,950 m².  </w:t>
        <w:br/>
        <w:t xml:space="preserve">2. GEOGRAPHICAL MARKET  </w:t>
        <w:br/>
        <w:t xml:space="preserve">31. It follows from the decision-making practice35 that the competitive conditions in the downstream markets for food distribution are assessed over two different areas depending on the size of the stores:  </w:t>
        <w:br/>
        <w:t xml:space="preserve">- a market where consumer demand meets the supply of supermarkets and equivalent forms of commerce located within 15 minutes of driving time. These latter forms of commerce may include, in addition to supermarkets, hypermarkets located near consumers and discount stores;  </w:t>
        <w:br/>
        <w:t xml:space="preserve">- a second market where consumer demand from one area meets the supply of hypermarkets that they can access within 30 minutes of driving time and which are, from their perspective, substitutable for each other.  </w:t>
        <w:br/>
        <w:t xml:space="preserve">32.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refining, in the specific case, the usual delimitations presented above.  </w:t>
        <w:br/>
        <w:t xml:space="preserve">33. In this case, the target business falling into the category of hypermarkets, the competitive analysis will be conducted on a market including hypermarkets within a 30-minute radius around the Raon L'Étape (88) point of sale and on a market including supermarkets and equivalent forms of commerce located within a 15-minute radius around the Raon L'Étape (88) point of sale.  </w:t>
        <w:br/>
        <w:t xml:space="preserve">III. Competitive Analysis  </w:t>
        <w:br/>
        <w:t xml:space="preserve">A. THE UPSTREAM SUPPLY MARKETS  </w:t>
        <w:br/>
        <w:t xml:space="preserve">34. For food distribution as well as for the distribution of DIY articles, the operation which concerns only one hypermarket and one DIY store, is not likely to significantly strengthen the purchasing power of the Leclerc movement, across all products combined as well as by product categories.  </w:t>
        <w:br/>
        <w:t xml:space="preserve">35. Consequently, the operation is not likely to harm competition in the upstream supply market.  </w:t>
        <w:br/>
        <w:t xml:space="preserve">B. THE DOWNSTREAM MARKETS FOR FOOD DISTRIBUTION  </w:t>
        <w:br/>
        <w:t xml:space="preserve">36. In the market including supermarkets and equivalent forms of commerce located within a 15-minute drive around the target hypermarket of Raon l'Étape, the target store represents [20-30]% of the sales areas and the other Leclerc-branded point of sale represents [40-50]%, resulting in a combined market share of [60-70]%. In this area, these two stores face competition from 6 competing brands: Aldi ([5-10]%), Casino ([5-10]%), Intermarché ([5-10]%), Carrefour ([0-5]%), Dia ([0-5%]) and LIDL ([0-5]%).  </w:t>
        <w:br/>
        <w:t xml:space="preserve">37. In the market including hypermarkets located within a 30-minute drive around the Raon l'Étape hypermarket, the target store represents [10-20]% of the sales areas and the other Leclerc-branded point of sale represents [30-40]%, resulting in a combined market share of [40-50]%. In this area, these two stores face competition from a Cora hypermarket ([30-40]%) and an Intermarché ([10-20]%).  </w:t>
        <w:br/>
        <w:t xml:space="preserve">38. It should be recalled that the operation consists of the substitution of shareholders in the capital of Raon Distribution, with ACDLec holding joint control before and after the operation. Furthermore, the new shareholders do not hold any other retail stores with a predominant food focus, so the operation does not result in any change to the competitive structure of the relevant markets. Consequently, the operation is not likely to harm competition in the downstream markets for food distribution.  </w:t>
        <w:br/>
        <w:t xml:space="preserve">DECIDES  </w:t>
        <w:br/>
        <w:t xml:space="preserve">Sole Article: The operation notified under number 14-112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