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https://www.autoritedelaconcurrence.fr/fr/decision-de-controle-des-concentrations/relative-la-prise-de-controle-conjoint-des-societes-safm</w:t>
      </w:r>
    </w:p>
    <w:p>
      <w:r>
        <w:t>Pages translated : 2</w:t>
      </w:r>
    </w:p>
    <w:p/>
    <w:p>
      <w:r>
        <w:rPr>
          <w:b/>
        </w:rPr>
        <w:t>[Pages 1–2]</w:t>
      </w:r>
    </w:p>
    <w:p>
      <w:r>
        <w:t xml:space="preserve">FRENCH REPUBLIC  </w:t>
        <w:br/>
        <w:t xml:space="preserve">Decision No. 11-DCC-26 of March 4, 2011  </w:t>
        <w:br/>
        <w:t xml:space="preserve">regarding the joint control acquisition of companies SAFM, SDAP, SASD, and TURBIDIS by the Carrefour group and the Benharrouche family  </w:t>
        <w:br/>
        <w:t xml:space="preserve">The Competition Authority,  </w:t>
        <w:br/>
        <w:t xml:space="preserve">Having regard to the notification file sent to the mergers department on November 18, 2010, and declared complete on February 1, 2011, concerning the joint control acquisition by the Carrefour group and the Benharrouche family of companies SAFM, SDAP, SASD, and Turbidis, formalized by a letter of intent dated December 21, 2010, between the company Selima and Mr. Yohann Benharrouche;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acquisition of control by the Carrefour group of companies SAFM, SDAP, SASD, and Turbidis, with the Benharrouche family, which currently holds exclusive control. The target companies operate convenience stores under the Shopi and Carrefour City brands located respectively in the 9th, 20th, 16th, and 3rd arrondissements of Paris. Given the revenues generated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10-0211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