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https://www.autoritedelaconcurrence.fr/fr/decision-de-controle-des-concentrations/relative-la-prise-de-controle-conjoint-des-societes-sas-0</w:t>
      </w:r>
    </w:p>
    <w:p>
      <w:r>
        <w:t>Pages translated : 2</w:t>
      </w:r>
    </w:p>
    <w:p/>
    <w:p>
      <w:r>
        <w:rPr>
          <w:b/>
        </w:rPr>
        <w:t>[Pages 1–2]</w:t>
      </w:r>
    </w:p>
    <w:p>
      <w:r>
        <w:t xml:space="preserve">FRENCH REPUBLIC  </w:t>
        <w:br/>
        <w:t xml:space="preserve">Decision No. 25-DCC-99 of April 25, 2025  </w:t>
        <w:br/>
        <w:t xml:space="preserve">regarding the joint control acquisition of SAS Cladis and SAS Clabis by Mr. Anthony Blevin and Cooperative U  </w:t>
        <w:br/>
        <w:t xml:space="preserve">The Competition Authority,  </w:t>
        <w:br/>
        <w:t xml:space="preserve">Having regard to the complete notification file submitted to the mergers department on March 28, 2025, concerning the joint control acquisition of SAS Cladis and SAS Clabis by Mr. Anthony Blevin and Cooperative U, formalized by a share transfer agreement dated February 6, 2025, and a letter of intent dated March 27, 2025;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Mr. Anthony Blevin, via the company Valandis, and Cooperative U, of joint control of the company SAS Cladis and, indirectly, of the company SAS Clabis, the latter operating a predominantly food store under the Super U brand located in Lège-Cap-Ferret (33), with a sales area of 2,388 m², including an attached drive and a gas station. SAS Cladis, which controls the company SAS Clabis, owns the real estate of the target store. This transaction constitutes a concentration within the meaning of Article L. 430-1 of the Commercial Code. Given the turnover achieved by the companies concerned,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25-088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