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https://www.autoritedelaconcurrence.fr/fr/decision-de-controle-des-concentrations/relative-la-prise-de-controle-conjoint-des-societes-sedavi</w:t>
      </w:r>
    </w:p>
    <w:p>
      <w:r>
        <w:t>Pages translated : 2</w:t>
      </w:r>
    </w:p>
    <w:p/>
    <w:p>
      <w:r>
        <w:rPr>
          <w:b/>
        </w:rPr>
        <w:t>[Pages 1–2]</w:t>
      </w:r>
    </w:p>
    <w:p>
      <w:r>
        <w:t xml:space="preserve">FRENCH REPUBLIC  </w:t>
        <w:br/>
        <w:t xml:space="preserve">Decision No. 20-DCC-154 of November 12, 2020  </w:t>
        <w:br/>
        <w:t xml:space="preserve">regarding the joint control acquisition of the companies Sedavi and Sojay by  </w:t>
        <w:br/>
        <w:t xml:space="preserve">the companies Jujefa and ITM Entreprises  </w:t>
        <w:br/>
        <w:t xml:space="preserve">The Competition Authority,  </w:t>
        <w:br/>
        <w:t xml:space="preserve">Having regard to the complete notification file submitted to the mergers department on October 26, 2020,  </w:t>
        <w:br/>
        <w:t xml:space="preserve">concerning the joint control acquisition of the companies Sedavi and Sojay by the companies Jujefa and ITM  </w:t>
        <w:br/>
        <w:t xml:space="preserve">Entreprises, formalized by a letter of intent dated October 23, 2020;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joint control acquisition by the companies Jujefa and ITM  </w:t>
        <w:br/>
        <w:t xml:space="preserve">Entreprises of the companies Sedavi and Sojay, which each operate a retail business primarily focused on food of the supermarket type, with areas of 2,105 m² and 2,015 m² under the Intermarché brand, located in Rumilly (74) and Varces-Allières-et-Risset (38). It constitutes a concentration operation within the meaning of Article L. 430-1 of the Commercial Code. Given the turnover generated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20-221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