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https://www.autoritedelaconcurrence.fr/fr/decision-de-controle-des-concentrations/relative-la-prise-de-controle-conjoint-des-societes-senice</w:t>
      </w:r>
    </w:p>
    <w:p>
      <w:r>
        <w:t>Pages translated : 2</w:t>
      </w:r>
    </w:p>
    <w:p/>
    <w:p>
      <w:r>
        <w:rPr>
          <w:b/>
        </w:rPr>
        <w:t>[Pages 1–2]</w:t>
      </w:r>
    </w:p>
    <w:p>
      <w:r>
        <w:t>FRENCH REPUBLIC</w:t>
        <w:br/>
        <w:t>Decision No. 20-DCC-147 of October 22, 2020</w:t>
        <w:br/>
        <w:t>regarding the joint control of the companies Senice and Dubanon</w:t>
        <w:br/>
        <w:t>by the company Clinvest and the company ITM Entreprises</w:t>
        <w:br/>
        <w:t>The Competition Authority,</w:t>
        <w:br/>
        <w:t>Having regard to the complete notification file sent to the mergers department on October 2, 2020,</w:t>
        <w:br/>
        <w:t>concerning the joint control of the companies Senice and Dubanon by the companies Clinvest</w:t>
        <w:br/>
        <w:t>and ITM Entreprises, formalized by a letter of intent dated August 11, 2020;</w:t>
        <w:br/>
        <w:t>Having regard to Book IV of the Commercial Code relating to the freedom of prices and competition, and</w:t>
        <w:br/>
        <w:t>notably its Articles L. 430-1 to L. 430-7;</w:t>
        <w:br/>
        <w:t>Adopts the following decision:</w:t>
        <w:br/>
        <w:t>1. The notified operation consists of the joint control by the company Clinvest and the company</w:t>
        <w:br/>
        <w:t>ITM Entreprises of the companies Dubanon and Senice, which operate two food-dominant retail outlets under the Intermarché brand, namely a convenience store with an area of 399m2 located in Wimereux (62) and a supermarket with an area of 1,714m2 located in Marquise (62).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20-199 is authorized.</w:t>
        <w:br/>
        <w:t>The Vice-President,</w:t>
        <w:br/>
        <w:t>Henri Piffaut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