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https://www.autoritedelaconcurrence.fr/fr/decision-de-controle-des-concentrations/relative-la-prise-de-controle-conjoint-des-societes-sodicab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20-DCC-36 of February 28, 2020  </w:t>
        <w:br/>
        <w:t xml:space="preserve">regarding the joint control acquisition of the companies Sodicab and Sodiouis  </w:t>
        <w:br/>
        <w:t xml:space="preserve">by the companies GH Participations, Somonfi, and the Carrefour group  </w:t>
        <w:br/>
        <w:t xml:space="preserve">The Competition Authority,  </w:t>
        <w:br/>
        <w:t xml:space="preserve">Having regard to the complete notification file sent to the mergers department on February 11, 2020,  </w:t>
        <w:br/>
        <w:t xml:space="preserve">concerning the joint control acquisition of the companies Sodicab and Sodiouis by the companies GH  </w:t>
        <w:br/>
        <w:t xml:space="preserve">Participations and Somonfi and the Carrefour group, materialized by a transfer protocol dated February 3,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GH Participations,  </w:t>
        <w:br/>
        <w:t xml:space="preserve">Somonfi, and the Carrefour group, of the companies Sodicab and Sodiouis, which operate  </w:t>
        <w:br/>
        <w:t xml:space="preserve">respectively two retail business establishments primarily focused on food of hypermarket type,  </w:t>
        <w:br/>
        <w:t xml:space="preserve">with areas of 2700 m² and 3229 m² under the Carrefour brand, located in  </w:t>
        <w:br/>
        <w:t xml:space="preserve">Cabourg (14) and Ouistreham (14).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However, the control thresholds related to retail trade mentioned in point II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 </w:t>
        <w:br/>
        <w:t xml:space="preserve">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20-035 is authorized.  </w:t>
        <w:br/>
        <w:t xml:space="preserve">The Vice-President,  </w:t>
        <w:br/>
        <w:t xml:space="preserve">Irène Luc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