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https://www.autoritedelaconcurrence.fr/fr/decision-de-controle-des-concentrations/relative-la-prise-de-controle-conjoint-des-societes-stradis</w:t>
      </w:r>
    </w:p>
    <w:p>
      <w:r>
        <w:t>Pages translated : 11</w:t>
      </w:r>
    </w:p>
    <w:p/>
    <w:p>
      <w:r>
        <w:rPr>
          <w:b/>
        </w:rPr>
        <w:t>[Pages 1–3]</w:t>
      </w:r>
    </w:p>
    <w:p>
      <w:r>
        <w:t xml:space="preserve">FRENCH REPUBLIC  </w:t>
        <w:br/>
        <w:t xml:space="preserve">Decision No. 14-DCC-147 of October 8, 2014  </w:t>
        <w:br/>
        <w:t xml:space="preserve">regarding the joint control of the companies Stradis and  </w:t>
        <w:br/>
        <w:t xml:space="preserve">Stradis Drive 1 by the company Strafi  </w:t>
        <w:br/>
        <w:t xml:space="preserve">alongside the Association of E. Leclerc Distributor Centers  </w:t>
        <w:br/>
        <w:t xml:space="preserve">The Competition Authority,  </w:t>
        <w:br/>
        <w:t xml:space="preserve">Having regard to the notification file sent to the merger service on August 22, 2014, and declared complete on September 3, 2014, regarding the joint control of the companies Stradis and Stradis Drive 1 by the company Strafi alongside the Association of E. Leclerc Distributor Centers, formalized by a share transfer agreement dated July 30, 2014;  </w:t>
        <w:br/>
        <w:t xml:space="preserve">Having regard to Book IV of the Commercial Code relating to the freedom of prices and competition, and in particular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A. THE COMPANIES CONCERNED  </w:t>
        <w:br/>
        <w:t xml:space="preserve">1. THE ACQUIRERS AND THE TARGET  </w:t>
        <w:br/>
        <w:t>1. Strafi is a simplified joint-stock company, created for the needs of the operation, predominantly held by Mr. Bindou and Mrs. Bindou Eichhacker (together "the Bindou consortium"). The remainder is held by Mr. Daniel Prunier, as well as the companies Lure Distribution, Mudis, Sodirem, Contrexedis, Chaumondis, and Scapalsace which, in addition to the regional supply center Scapalsace, are or represent operating companies of Leclerc branded stores. The Bindou consortium does not operate any other retail store with a predominant food focus. However, they plan to acquire a supermarket with a surface area of 1,700 m² located in Strasbourg, currently held by the company Hypercoop, which is itself exclusively controlled by ACDLec.</w:t>
      </w:r>
    </w:p>
    <w:p>
      <w:r>
        <w:t xml:space="preserve">2. The Association of E.Leclerc Distributor Centers (hereinafter, the "ACDLec") is the strategic body of the Leclerc movement, to which all natural persons who manage the operating companies of Leclerc stores are members. The ACDLec notably determines the conditions for approval to the Leclerc movement and signs the brand contracts that must be held by the operators of E.Leclerc retail stores.  </w:t>
        <w:br/>
        <w:t xml:space="preserve">3. Stradis is a simplified joint-stock company operating, under the Leclerc brand, a retail store with a predominant food focus and a sales area of 4,500 m² located in Strasbourg (67). Its capital is currently held at [...]% by Mr. Jean Ferry. Stradis holds [...]% of the capital of Stradis Drive 1, a simplified joint-stock company operating, under the E. Leclerc brand, a drive located in Strasbourg (67).  </w:t>
        <w:br/>
        <w:t xml:space="preserve">2. CONTROL OF THE CONCERNED ENTITIES  </w:t>
        <w:br/>
        <w:t xml:space="preserve">4. It is argued in the notification that ACDLec exercises no control over the company Stradis, and therefore over the company Stradis Drive 1, either before or after the operation. This company would therefore currently be exclusively controlled by Mr. Jean Ferry and the notified operation would consist of the exclusive control of Stradis by Strafi.  </w:t>
        <w:br/>
        <w:t xml:space="preserve">5. Nevertheless, as the Competition Authority has noted in previous decisions, the obligations that ACDLec imposes on the operating companies allow it to exert a determining influence over them. This analysis of the determining influence exerted by ACDLec is transposable to the present operation in light of the various contractual documents binding Stradis to ACDLec.  </w:t>
        <w:br/>
        <w:t xml:space="preserve">6. Firstly, ACDLec constitutes a company within the meaning of the provisions of Article L. 430-1 of the Commercial Code insofar as it engages in an economic activity consisting notably, according to the provisions of its statutes, of (i) defining the brand policy, (ii) protecting and promoting the sign "E.Leclerc Distributor Center", (iii) controlling either for itself or on behalf of any commercial company grouping the Leclerc distributor centers, the conditions of management of the latter or of the E. Leclerc centers that are associated with it, and (iv) contributing to the creation of any organization likely to promote the activity, solidarity, and security of its members.  </w:t>
        <w:br/>
        <w:t xml:space="preserve">7. Secondly, the holding by ACDLec of joint control over Stradis, before and after the operation, arises from a set of indicators based notably on the possibility for ACDLec to intervene in the appointment and dismissal of the president of this company and the members of its sponsorship council, in its commercial policy, and on the share transfers of the latter.  </w:t>
        <w:br/>
        <w:t xml:space="preserve">The possibility to intervene in the appointment, dismissal, and exclusion of the president of Stradis  </w:t>
        <w:br/>
        <w:t xml:space="preserve">8. ACDLec has a veto right over the appointment and exercise of the functions of the president of the company Stradis. The statutes of this company provide that a "sponsorship council" appoints (by simple majority) and dismisses (unanimously) the president of each of the companies, while the latter also assumes "the general management of the company". This sponsorship council also has the right to be communicated all documents and information and to give its opinion on several strategic issues (acquisition or transfer of property or real rights, investment exceeding 1 million euros, company budgets).  </w:t>
        <w:br/>
        <w:t xml:space="preserve">9. It follows from these stipulations that ACDLec is able to exercise, through its sponsorship committee, control over Stradis. The members of the sponsorship committee are, in addition to the regional supply center Scapalsace, all managing partners of E. Leclerc centers or legal entities whose representative is a manager of an E. Leclerc center, and therefore linked to ACDLec by signboard or brand contracts. The members of the sponsorship committee also provide their endorsement to the managers of E. Leclerc centers within the framework of a sponsorship agreement, which states "that due to the fundamental assistance provided in various forms by the LECLERC Movement and by the Sponsors of the member, it has been provided [...] for control, monitoring, or decision-making functions in favor of the Sponsors, within the said Company". Furthermore, it follows from the sponsorship agreements that the managers of the operating companies will not have any influence on the evolution of the composition of the sponsorship council insofar as "the sponsored party refrains from proposing the dismissal of one or more sponsors who are members of the sponsorship council of [its] company" and "generally refrains from any attitude aimed, if not for the purpose, to oust the sponsors".  </w:t>
        <w:br/>
        <w:t>10. More generally, only members of ACDLec (or the operating companies they manage) can operate a store under the E.Leclerc brand, join Galec or a general supply cooperative of the Leclerc movement, this status implying that they hold a signboard (or brand) contract signed with ACDLec, granting the right to use the E.Leclerc brand. Insofar as ACDLec is not obliged to grant this right to use the E. Leclerc brand, nor to justify its possible refusals, and where it can withdraw this right to use the E. Leclerc brand in accordance with the stipulations of the statutes, the statutes of ACDLec do not mention, in this regard, any conditions precedent to membership, without ACDLec being obliged to grant the right to use the Leclerc brand if these conditions are met. The same applies to the charter of members of the Leclerc movement, which also only mentions conditions precedent to membership.</w:t>
      </w:r>
    </w:p>
    <w:p>
      <w:r>
        <w:rPr>
          <w:b/>
        </w:rPr>
        <w:t>[Pages 4–6]</w:t>
      </w:r>
    </w:p>
    <w:p>
      <w:r>
        <w:t>sign contract or signboard contract which leave him a very wide margin of appreciation13, ACDLec can control the appointment of the president, but also that of the members of the sponsorship council of Stradis. Intervention in the commercial policy of operating companies 11. ACDLec14 imposes, in the signboard contracts, in the charter of members of the Leclerc movement15 and in directives, disseminated by its regional delegates who ensure their proper application16, two sets of obligations. These obligations significantly limit the autonomy of members in conducting their commercial policy. In this case, these obligations will be imposed on Mr. Bindou as the future president of Stradis, who will enter into a signboard contract with ACDLec once the operation is authorized17. 12. Firstly, the association receives communication of all documents necessary for the assessment of the commercial operation of the stores by their managers. Members must therefore send each year their balance sheet and income statement as well as, monthly, the turnover of the previous month18. 13. Secondly, ACDLec also imposes, in the sign contracts, obligations that give it a determining role in the commercial strategy of the stores. These contracts indeed provide that members cannot apply margins higher than those practiced for wholesale sales and that, in any case, members commit "never to apply a margin higher than those recommended by ACDLec"19. However, the setting of the margin rate is the essential element that conditions the commercial profitability of a large retail brand. The charter of ACDLec expressly states that each member is required to respect the pricing policy of the Leclerc movement, which constitutes "one of the essential elements of belonging to ACDLec. (...) The average index target to be achieved to ensure the overall competitiveness of the brand is 96.5. Every member must strive to achieve the set target and, in any case, have a comprehensive index at OPUS lower than 97.5. Non-compliance with this pricing rule leads to the implementation of a disciplinary procedure, a warning from ACDLec penalizes any excess, three consecutive warnings may lead to expulsion from the association"20. It follows that, in practice, ACDLec is effectively able to correct the commercial policy of the operating companies of Leclerc stores. 13 The signboard contracts contain very broad provisions in this regard, granting ACDLec extensive power to withdraw the right to use the brand, as they provide that their termination is possible in the event of "breach of these [provisions of the signboard contract] or the Statutes or Internal Regulations of the Association of E.Leclerc Distributor Centers or of the SC Galec company, as well as in the event that [the manager of the company benefiting from the sign contract] commits a professional or commercial fault likely to cause harm, even simply moral, to the E.Leclerc Distributor Centers" (paragraph VIII). 14 See in particular the statutes of ACDLec. 15 The charter of members of the Leclerc movement notably provides for the following obligations incumbent on members of the Leclerc movement: the obligation of sponsorship and the obligation to adopt statutes of SAS whose model has been validated by ACDLec, the obligation to respect the social policy of the Leclerc movement, the limitation on the number of points of sale that can be operated by a member, and the obligation to respect the pricing policy of the Leclerc movement. 16 See the provisions of Article 3 of the internal regulations of ACDLec. 17 The notifying party specifies in the notification that Mr. Bindou will have to request approval from ACDLec to obtain a signboard contract allowing him to operate the target stores, which constitutes a suspensive condition of the operation mentioned in the share transfer protocol of Stradis. It communicates a model of the signboard contract. 18 See in particular the provisions of Article 6 of the statutes of ACDLec and the internal regulations of E. Leclerc distributor centers. 19 See the provisions of paragraph III of the signboard contracts. 20 See p17 of the charter of members of ACDLec.</w:t>
      </w:r>
    </w:p>
    <w:p>
      <w:r>
        <w:t>14. Furthermore, the sign contracts impose on members obligations precisely framing their supply, investments, and social policy21. Members are also required not to operate or manage any other commercial enterprise22, even if it has a similar activity. In addition to these obligations imposed by ACDLec in the sign contracts, members of ACDLec are required to comply with the obligations set forth in the charter of members of the Leclerc movement23, and by directives outlining the brand policy developed by the strategic committee of ACDLec24, and disseminated by its regional delegates25. Any failure to comply with these obligations may justify the withdrawal of the right to use the E.Leclerc brand26. The possibility of intervening in the share transfers of operating companies 15. The various statutory provisions or contractual stipulations applicable make it difficult to transfer shares of Stradis to a person outside the Leclerc movement. 16. Regarding share transfers by the majority shareholder, several obligations provided in the statutes of Stradis obstruct this: - any total or partial transfer of shares held by a partner must be subject to a "prior offer of transfer" to the other partners27; and - if the other partners have not expressed their willingness to acquire the shares within two years after the presentation of the prior offer of transfer, the transferor may contract with a third party, subject to notifying the transfer to each of the partners, who then have a period of 30 days to indicate whether they intend to exercise their right of preemption. Failing a response within this period, they are deemed to have waived their acquisition28. 17. Overall, it follows from all the elements mentioned above, and notably from the possibility for ACDLec to intervene in the administration, the commercial policy, and the share transfers of Stradis, that ACDLec has the ability to exert a determining influence over this company and will continue to have it after the operation. B. THE OPERATION 18. The present operation, formalized by a share transfer agreement dated July 30, 2014, consists of the acquisition by the Bindou consortium, via the company Strafi, of all the shares of Stradis held by Mr. Jean Ferry. 21 See the provisions of paragraph III of the signboard contracts. 22 See the provisions of paragraphs IV and X of the signboard contracts. 23 These include the following obligations: obligation of sponsorship and obligation to adopt statutes of SAS whose model has been validated by ACDLec, obligation to respect the social policy of the Leclerc movement, limitation on the number of points of sale that can be operated by a member, and obligation to respect the pricing policy of the Leclerc movement. 24 See Article 4 - "Development of the brand policy" of the internal regulations of ACDLec. 25 See the provisions of Article 3 of the internal regulations of ACDLec. 26 See in particular the provisions of paragraph VIII of the signboard contracts, as well as the provisions on p17 of the charter of members of the Leclerc movement. 27 See Article 12.2.4.1 of the statutes of Stradis. 28 See Article 12.2.4.2 of the statutes of Stradis.</w:t>
      </w:r>
    </w:p>
    <w:p>
      <w:r>
        <w:t>19. In that it results in the joint control of the companies Stradis and Stradis Drive 1 by Strafi alongside ACDLec, the notified operation constitutes a concentration within the meaning of Article L.430-1 of the Commercial Code29. 20. The companies concerned operate retail stores and together achieve a total worldwide turnover excluding tax of more than 75 million euros (Leclerc movement: [...] euros for the fiscal year ending December 31, 2013; Stradis: [...] euros for the fiscal year ending September 30, 2013). At least two of these companies achieve a turnover in France exceeding 15 million euros in the retail sector (Leclerc movement: [...] euros for the fiscal year ending December 31, 2013; Stradis: [...] euros for the fiscal year ending September 30, 2013). Given these turnover figures,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II. Definition of relevant markets 21. The markets concerned by the operation fall within the sector of food retailing. 22. According to the consistent practice of national and European competition authorities, two categories of markets can be delineated in the food retail sector. These are the "downstream" markets, of local dimension, which bring together retail companies and consumers for the sale of consumer goods, and the "upstream" supply markets on which companies as buyers are in contact with product manufacturers. A. THE UPSTREAM SUPPLY MARKETS 23. Regarding the supply markets, the European Commission30 has recognized the existence of national markets by major product groups, a delineation followed by national authorities31. 24. There is no need to challenge this delineation in the context of the present operation. 29 The notifying party argues that the operation is interdependent with another operation whereby the company Strafi takes control of the company Neudis, which operates a supermarket under the Leclerc brand in Neuhof. However, operations can only be considered a single concentration operation if they are subject to a reciprocal conditional link (guidelines of the Competition Authority, §64; consolidated communication of the European Commission under Regulation (EC) No. 139/2004, §39 and 40). In this case, as the share transfer agreements relating to these two operations are not subject to a reciprocal conditional link, the operations cannot be considered interdependent. 30 See for example the decisions of the European Commission 1684, Carrefour / Promodès of January 25, 2000 and M. 2115, Carrefour / GB, of September 28, 2000. 31 See in particular the decisions of the minister in the sector, C2005-98 Carrefour/Penny Market of November 10, 2005, C2006-15 Carrefour/Groupe Hamon of April 14, 2006, C2007-172 relating to the creation of the joint venture Plamidis of February 13, 2008 and C2008-32 Carrefour/SAGC of July 9, 2008, as well as the decisions of the Competition Authority No. 11-DCC-45, No. 13-DCC-112, No. 13-DCC-12, No. 14-DCC-16 mentioned above.</w:t>
      </w:r>
    </w:p>
    <w:p>
      <w:r>
        <w:rPr>
          <w:b/>
        </w:rPr>
        <w:t>[Pages 7–9]</w:t>
      </w:r>
    </w:p>
    <w:p>
      <w:r>
        <w:t xml:space="preserve">B. THE DOWNSTREAM MARKETS OF DISTRIBUTION  </w:t>
        <w:br/>
        <w:t xml:space="preserve">1. SERVICE MARKETS  </w:t>
        <w:br/>
        <w:t xml:space="preserve">25. With regard to the retail sale of everyday consumer goods, both community and national competition authorities have distinguished six categories of commerce using several criteria, including store size, sales techniques, accessibility, the nature of the service provided, and the range of products offered: (i) hypermarkets, (ii) supermarkets, (iii) specialized retail, (iv) small retail, (v) discount stores, (vi) mail order sales.  </w:t>
        <w:br/>
        <w:t xml:space="preserve">26. Hypermarkets are usually defined as stores with a predominant food focus and a sales area equal to or greater than 2,500 m², supermarkets as stores with a predominant food focus and a sales area of less than 2,500 m² and greater than 400 m², and convenience stores as stores with a predominant food focus and a sales area less than 400 m² and greater than 120 m². However, it should be noted that these thresholds must be used with caution and may be adapted to the specific case, considering that stores whose area is close to a threshold, either below or above, may be in direct competition in practice.  </w:t>
        <w:br/>
        <w:t xml:space="preserve">27. In this case, the store operated by Stradis is a hypermarket with a sales area of 4,500 m².  </w:t>
        <w:br/>
        <w:t xml:space="preserve">28. The decision-making practice of the competition authority further considers that two segments can be identified within the distance selling of food products: (i) home delivery and (ii) the permanent pick-up point (hereinafter "drive") where the consumer goes to the store to collect an order placed online.  </w:t>
        <w:br/>
        <w:t xml:space="preserve">29. While the competition authority has noted that the drive exerts little competitive pressure on physical sales points in Paris, it has not ruled on this issue in the provinces.  </w:t>
        <w:br/>
        <w:t xml:space="preserve">30. The companies surveyed as part of the market test overwhelmingly believe that it is appropriate to distinguish between drives linked to physical sales points and isolated warehouses dedicated to drive activity. While linked drives would represent a complementary service offered to customers by the stores, which would help to enhance their loyalty, isolated drives compete with hypermarkets and should be treated as physical sales points.  </w:t>
        <w:br/>
        <w:t xml:space="preserve">31. It appears that the offerings of hypermarkets and drives are partially comparable. The investigation notes that while the prices charged are identical, the offering of traditional fresh products is often more limited in drives, and the average shopping basket is significantly higher there. Private label brands would also be more represented in drives than in physical sales points.  </w:t>
        <w:br/>
        <w:t xml:space="preserve">32. In this case, Stradis operates an isolated drive.  </w:t>
        <w:br/>
        <w:t xml:space="preserve">33. The question of the existence of a specific market for drives or their inclusion in the hypermarket market can, however, be left open, as the conclusions of the competitive analysis would remain unchanged.  </w:t>
        <w:br/>
        <w:t xml:space="preserve">2. GEOGRAPHICAL MARKETS  </w:t>
        <w:br/>
        <w:t xml:space="preserve">34. It emerges from decision-making practice that the conditions of competition in the downstream markets of food distribution are assessed over two different areas for hypermarkets:  </w:t>
        <w:br/>
        <w:t xml:space="preserve">- a first market where consumer demand meets the supply of supermarkets and equivalent forms of commerce located within a 15-minute drive. These latter forms of commerce may include, in addition to supermarkets, hypermarkets located near consumers and discount stores;  </w:t>
        <w:br/>
        <w:t xml:space="preserve">- a second market where consumer demand from one area meets the supply of hypermarkets that they can access within a 30-minute drive and which are, from their perspective, substitutable for each other.  </w:t>
        <w:br/>
        <w:t xml:space="preserve">35. However, the attractiveness of stores of the same format may vary depending on the density and quality of the commercial equipment in an area. The socio-economic characteristics of the area in question (population density, economic activity, geography, state of the road network) may also lead to refining, in the specific case, the usual boundaries presented above. The presence of drives in the catchment area may be taken into account qualitatively.  </w:t>
        <w:br/>
        <w:t xml:space="preserve">36. In this case, since the target business falls into the category of hypermarkets, the competitive analysis will be conducted on a market including hypermarkets within a 30-minute radius around the Strasbourg hypermarket, and on a market including supermarkets and equivalent forms of commerce located within a 15-minute radius around the Strasbourg hypermarket (67).  </w:t>
        <w:br/>
        <w:t xml:space="preserve">37. Regarding the potential market for drives, all companies surveyed as part of the market test believe that the catchment area associated with an isolated drive is at least a 15-minute drive, and most of them estimate that it can extend up to 30 minutes.  </w:t>
        <w:br/>
        <w:t xml:space="preserve">38. The question of the exact geographical delimitation of the market can, however, be left open as the conclusions of the competitive analysis would remain unchanged.  </w:t>
        <w:br/>
        <w:t xml:space="preserve">III. Competitive Analysis  </w:t>
        <w:br/>
        <w:t xml:space="preserve">A. THE UPSTREAM MARKETS OF SUPPLY  </w:t>
        <w:br/>
        <w:t xml:space="preserve">39. With regard to the upstream markets of supply, the operation, which only concerns two stores already jointly controlled by ACDLec before the operation, is not likely to significantly strengthen the purchasing power of the Leclerc movement, across all products as well as by major product groups.  </w:t>
        <w:br/>
        <w:t xml:space="preserve">40. Consequently, the operation is not likely to harm competition in the upstream market of supply.  </w:t>
        <w:br/>
        <w:t xml:space="preserve">B. THE DOWNSTREAM MARKETS OF DISTRIBUTION  </w:t>
        <w:br/>
        <w:t xml:space="preserve">a) Regarding the target hypermarket  </w:t>
        <w:br/>
        <w:t xml:space="preserve">41. In the market including supermarkets and equivalent forms of commerce located within a 15-minute drive around the target hypermarket in Strasbourg, the target store represents [0-5]% of sales areas and other Leclerc-branded sales points represent [20-30]%, resulting in a cumulative market share of [20-30]%. The parties will face competition from ten competing brands, including Auchan ([30-40]%), Cora ([10-20]%), or LIDL ([5-10]%).  </w:t>
        <w:br/>
        <w:t xml:space="preserve">42. In the market including hypermarkets located within a 30-minute drive around the target hypermarket in Strasbourg, the target store represents [0-5]% of sales areas and other Leclerc-branded sales points represent [20-30]%, resulting in a cumulative market share of [30-40]%. The parties will face competition from four competing brands: Système U ([20-30]%), ITM ([0-5]%), Auchan ([20-30]%), and Cora ([10-20]%).  </w:t>
        <w:br/>
        <w:t xml:space="preserve">b) Regarding the target drive  </w:t>
        <w:br/>
        <w:t xml:space="preserve">43. To calculate the market shares of physical sales points in a given catchment area, competition authorities traditionally use the sales area of the stores in the area.  </w:t>
        <w:br/>
        <w:t xml:space="preserve">44. However, the companies surveyed as part of the market test mostly confirm that this approach is not suitable for drives, which have very little sales area. The same applies to the storage areas of drives, which are not representative of their commercial potential. Several alternative criteria have therefore been suggested as part of the market test. Some respondents propose, like the notifying party, to conduct the analysis based on the number of comparable sales points in the catchment area. Others suggest assessing the respective positions of operators based on their turnover, the number of vehicles visiting each drive over a given period, the number of loading docks or charging stations, and a "square meter equivalent" based on the average turnover per square meter of physical sales points.  </w:t>
        <w:br/>
        <w:t>45. It is not necessary to resolve this question in the present case, as the analysis remains unchanged regardless of the indicator chosen. For the purposes of this decision,</w:t>
      </w:r>
    </w:p>
    <w:p>
      <w:r>
        <w:rPr>
          <w:b/>
        </w:rPr>
        <w:t>[Pages 10–11]</w:t>
      </w:r>
    </w:p>
    <w:p>
      <w:r>
        <w:t xml:space="preserve">l'analyse will be conducted based on the number of retail outlets in the considered catchment area.  </w:t>
        <w:br/>
        <w:t xml:space="preserve">46. In a 30-minute drive radius around the target drive in Strasbourg, three other isolated drives are present, two under the Leclerc brand and one under the Chronodrive brand. Adding the affiliated drives, the target drive represents [0-5]% of the drives and the other Leclerc drives [5-10]%, resulting in a cumulative market share of [10-20]%. In the area, these stores will face competition from five different brands: Système U ([40-50]%), Intermarché ([10-20]%), Cora ([10-20]%), Auchan ([5-10]%), Chronodrive ([0-5]%).  </w:t>
        <w:br/>
        <w:t xml:space="preserve">47. In a 15-minute drive radius around the target drive in Strasbourg, two other isolated drives are present: one under the Leclerc brand and one under the Chronodrive brand. Adding the affiliated drives, the area has two Leclerc drives representing [20-30]% of the retail outlets. These stores will face five competing brands: Auchan ([10-20]%), Chronodrive ([10-20]%), Cora ([10-20]%), Intermarché ([10-20]%) and Système U ([30-40]%).  </w:t>
        <w:br/>
        <w:t xml:space="preserve">48. It thus appears that the majority of the isolated drives in the concerned areas will be operated under the E.Leclerc brand. However, it should be noted that the operation consists of the substitution of shareholders in the capital of the target, with ACDLec holding joint control both before and after the operation. Furthermore, the new shareholders do not own any other drive, so the operation does not lead to any modification of the competitive structure of the relevant market. Consequently, the operation is not likely to harm competition in a potential distinct market for drives.  </w:t>
        <w:br/>
        <w:t xml:space="preserve">49. In the market also including hypermarkets, in a 30-minute drive radius around the target drive in Strasbourg, the target drive and hypermarket represent [5-10]% of the retail outlets and the other retail outlets under the Leclerc brand represent [20-30]%, resulting in a cumulative market share of [30-40]%. In this area, the parties will face competition from Système U ([20-30]%), Auchan ([20-30]%), Cora ([10-20]%), Intermarché ([0-5]%) and Chronodrive ([0-5]%).  </w:t>
        <w:br/>
        <w:t xml:space="preserve">50. In a 30-minute drive radius around the target drive in Strasbourg, including isolated drives, hypermarkets, and supermarkets, the target drive and hypermarket represent [0-5]% of the retail outlets and the other retail outlets under the Leclerc brand represent [10-20]%, resulting in a cumulative market share of [20-30]%. In this area, these stores will face 7 competing brands, including Auchan ([30-40]%), Système U ([10-20]%), Coop ([10-20]%) or Cora ([10-20]%).  </w:t>
        <w:br/>
        <w:t xml:space="preserve">51. Consequently, the operation is not likely to harm competition in the downstream markets of food distribution.  </w:t>
        <w:br/>
        <w:t xml:space="preserve">DECIDES  </w:t>
        <w:br/>
        <w:t xml:space="preserve">Sole Article: The operation notified under number 14-151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