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https://www.autoritedelaconcurrence.fr/fr/decision-de-controle-des-concentrations/relative-la-prise-de-controle-conjoint-des-societes-tenedor</w:t>
      </w:r>
    </w:p>
    <w:p>
      <w:r>
        <w:t>Pages translated : 7</w:t>
      </w:r>
    </w:p>
    <w:p/>
    <w:p>
      <w:r>
        <w:rPr>
          <w:b/>
        </w:rPr>
        <w:t>[Pages 1–3]</w:t>
      </w:r>
    </w:p>
    <w:p>
      <w:r>
        <w:t xml:space="preserve">FRENCH REPUBLIC  </w:t>
        <w:br/>
        <w:t xml:space="preserve">Decision No. 17-DCC-78 of June 6, 2017  </w:t>
        <w:br/>
        <w:t xml:space="preserve">regarding the joint control of the companies Tenedor Reims and  </w:t>
        <w:br/>
        <w:t xml:space="preserve">Étoile 51 by the company Bernard Participations and the company Groupe  </w:t>
        <w:br/>
        <w:t>Tenedor</w:t>
      </w:r>
    </w:p>
    <w:p>
      <w:r>
        <w:t xml:space="preserve">The Competition Authority,  </w:t>
        <w:br/>
        <w:t xml:space="preserve">Having regard to the notification file sent to the merger service on April 21, 2017, and declared complete on May 11, 2017, concerning the joint control of the companies Tenedor Reims and Étoile 51 by the companies Bernard Participations and Groupe Tenedor, formalized by a memorandum of understanding dated March 21, 2017;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Bernard Participations is a company primarily active in the sector of distribution and repair of motor vehicles and industrial vehicles through dealers or automotive repairers of the brands Peugeot, Citroën, Renault/Dacia, Nissan/Infiniti, and Mercedes, located in the departments of Ain (01), Ardèche (07), Doubs (25), Drôme (26), Isère (38), Jura (39), Marne (51), Meurthe-et-Moselle (54), Rhône (69), Haute-Saône (70), Saône-et-Loire (71), and Savoie (73). Bernard Participations is 60% owned by the company Fiber, which is itself controlled by the Bernard partners, and 40% by the Belgian law company Alcopa.  </w:t>
        <w:br/>
        <w:t xml:space="preserve">2. Tenedor Reims and its subsidiaries1 and Étoile 51 (hereinafter "the target companies") are companies active in the sector of distribution and repair of motor vehicles and industrial vehicles of the Mercedes brand, in the departments of Marne (51) and Aisne (02). They are controlled by the company Groupe Tenedor, which is itself owned by the Tenedor partners.  </w:t>
        <w:br/>
        <w:t xml:space="preserve">3. The operation, formalized by a share transfer agreement signed on March 21, 2017, involves two steps:  </w:t>
        <w:br/>
        <w:t xml:space="preserve">- In the first step, Bernard Participations must acquire 35% of the shares of the companies Tenedor Reims and Étoile 51. Following this initial transfer completed during the first half of 2017, the capital of these companies will be divided between Bernard Participations and the company Groupe Tenedor. A shareholders' agreement concluded between the parties aims to organize the relations of the two shareholders within these companies starting from the completion of the first transfer. Under this agreement, Bernard Participations will be able to exercise a determining influence over the target companies to the extent that its prior approval will now be essential for making important strategic decisions, such as the appointment of corporate officers and/or the managing director, the approval of the annual budget and the three-year business plan, and investments or divestments exceeding […] euros. Following the first transfer, the target companies will therefore be jointly controlled by the companies Bernard Participations and Groupe Tenedor.  </w:t>
        <w:br/>
        <w:t xml:space="preserve">- In the second step, the transfer agreement stipulates that Bernard Participations must acquire the remainder of the capital of the target companies, and will thus take exclusive control of the companies Tenedor Reims and Étoile 51.  </w:t>
        <w:br/>
        <w:t xml:space="preserve">4. A concentration operation is deemed to be realized only if it leads to a lasting change in the control of the concerned company. Therefore, as specified in the consolidated jurisdictional communication of the European Commission, "the question of to what extent an operation leads to a lasting change in the market structure must also be taken into account to assess a series of operations of which the first is only of a transitional nature."2 By reference to the consolidated communication, the Competition Authority indicates in its guidelines that it "retains two conditions to assess whether a transitional operation constitutes a lasting change in control. On the one hand, the transitional nature of the operation must be agreed upon between the different acquirers in a legally binding manner, and, on the other hand, there must be no doubt as to the promptness of the second step."3 The European Commission adds that "when these conditions are not met, particularly if there is doubt as to the promptness of the second step after the first acquisition, the Commission considers the first operation as a distinct concentration."4  </w:t>
        <w:br/>
        <w:t xml:space="preserve">5. In this regard, the consolidated communication specifically mentions the scenario of an operation leading to joint control during a start-up period but converted, under legally binding agreements, into exclusive control exercised by one of the shareholders. The European Commission considers that "given that joint control may not constitute a lasting change in control, the entire operation may be considered as an acquisition of exclusive control. In the past, the Commission has accepted that these start-up periods could last up to three years. Such a period seems too long to exclude an influence of joint control on the market structure. The period in question should therefore, generally speaking, not exceed one year, and the period of joint control should only be of a transitional nature. Only such a relatively short period of time will ensure that the period of joint control cannot, in all likelihood, have a particular impact on the market structure and can therefore be considered as not leading to a lasting change in control."5  </w:t>
        <w:br/>
        <w:t xml:space="preserve">6. In this case, if the transitional nature of the operation is agreed upon between the parties in a legally binding manner, it should be noted that the implementation of the second step can only be established with certainty at the end of a period of three years, in accordance with the contractual stipulations. It follows from the above that the exercise by the companies Bernard Participations and Groupe Tenedor of joint control over the target companies for a duration of 3 years before their exclusive control by Bernard Participations cannot be considered, in terms of merger control, as purely transitional but constitutes a lasting change in the control of the target companies, due to the lack of promptness in the implementation of the envisaged second step.  </w:t>
        <w:br/>
        <w:t xml:space="preserve">7. Insofar as it results in the joint control of the companies Tenedor Reims and Étoile 51 by the companies Bernard Participations and Groupe Tenedor, the notified operation constitutes a concentration operation within the meaning of Article L. 430-1 of the Commercial Code.  </w:t>
        <w:br/>
        <w:t>8. The concerned companies together achieve a total worldwide turnover of more than 75 million euros (Bernard Participations: 1 billion euros for the fiscal year ending December 31, 2016; Groupe Tenedor: 148.2 million euros for the same fiscal year). The concerned companies achieve in France in the retail sector a turnover exceeding 15 million euros (Bernard Participations: 1 billion euros for the fiscal year ending December 31, 2016; Groupe Tenedor: 148.2 million euros for the same fiscal year). Given these figures, the operation does not fall under the jurisdiction of the European Union. On the other hand, the thresholds for control relating to retail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1. SERVICE MARKETS  </w:t>
        <w:br/>
        <w:t xml:space="preserve">9. In the automotive distribution sector, decision-making practice6 distinguishes (i) the distribution of new motor vehicles intended for private customers; (ii) the distribution of new motor vehicles intended for professional customers; (iii) the distribution of commercial motor vehicles; (iv) the distribution of used motor vehicles; (v) the distribution of spare parts and automotive accessories; (vi) the distribution of maintenance and repair services for motor vehicles; (vii) the distribution of rental services.  </w:t>
        <w:br/>
        <w:t>6 See in particular Decision No. 09-DCC-01 of the Competition Authority of April 8, 2009, regarding the acquisition of control of the company Pellier Metz S.A.S by the group Bailly S.A.S, and Decision No. 10-DCC-23 of March 1, 2010, regarding the exclusive control of the companies Evry Corbeil Automobiles and Vétille Automobiles by the company Priod Holding (Priod group).</w:t>
      </w:r>
    </w:p>
    <w:p>
      <w:r>
        <w:rPr>
          <w:b/>
        </w:rPr>
        <w:t>[Pages 4–6]</w:t>
      </w:r>
    </w:p>
    <w:p>
      <w:r>
        <w:t>distribution of used motor vehicles; (v) the distribution of spare parts and automotive accessories; (vi) the distribution of maintenance and repair services for motor vehicles; (vii) the distribution of rental services.</w:t>
      </w:r>
    </w:p>
    <w:p>
      <w:r>
        <w:t>10. By analogy with automobile distribution, within the industrial vehicle distribution sector, a distinction can be made between the market for the distribution of new industrial vehicles and the market for the distribution of used industrial vehicles7.</w:t>
      </w:r>
    </w:p>
    <w:p>
      <w:r>
        <w:t>11. Furthermore, within the category of industrial vehicles, the European Commission has made a distinction between heavy trucks, on the one hand, and buses and coaches, on the other hand8. Regarding trucks, European decision-making practice has also segmented the market based on the weight of the vehicle into light commercial vehicles (&lt; 5 tons), medium commercial vehicles (5-16 tons), and heavy trucks (&gt; 16 tons).</w:t>
      </w:r>
    </w:p>
    <w:p>
      <w:r>
        <w:t>12. There is no need to challenge these delimitations during the examination of the present operation.</w:t>
      </w:r>
    </w:p>
    <w:p>
      <w:r>
        <w:t>13. In this case, the parties are simultaneously active in all of these markets, with the exception of the market for the distribution of rental services.</w:t>
      </w:r>
    </w:p>
    <w:p>
      <w:r>
        <w:t>2. GEOGRAPHICAL MARKETS</w:t>
      </w:r>
    </w:p>
    <w:p>
      <w:r>
        <w:t>14. In the automobile distribution sector, decision-making practice adopts a local delimitation, with the analysis generally conducted at the departmental level9.</w:t>
      </w:r>
    </w:p>
    <w:p>
      <w:r>
        <w:t>15. Furthermore, in operations where the acquirer is active in the neighboring departments of those in which the target is present, the Authority also conducts a competitive analysis over a market extended to all of these departments.</w:t>
      </w:r>
    </w:p>
    <w:p>
      <w:r>
        <w:t>16. In this case, the parties are simultaneously active in the department of Marne (51). Regarding the distribution of motor vehicles, the analysis will be extended to the neighboring departments of Aisne (02), where the target is present, and Ardennes (08), where the acquirer is present.</w:t>
      </w:r>
    </w:p>
    <w:p>
      <w:r>
        <w:t>III. Competitive Analysis</w:t>
      </w:r>
    </w:p>
    <w:p>
      <w:r>
        <w:t>17. The parties are simultaneously active in the markets for the distribution of motor vehicles (A), the distribution of industrial vehicles (B), the distribution of spare parts and accessories for motor vehicles and industrial vehicles, and the distribution of maintenance and repair services for motor vehicles and industrial vehicles (C).</w:t>
      </w:r>
    </w:p>
    <w:p>
      <w:r>
        <w:t>7 See in particular the decisions of the Competition Authority n° 16-DCC-223 of December 22, 2016, regarding the exclusive control by the company Groupe Kertrucks Finance of the company Filoca and the commercial activities of distribution of heavy trucks and tires of the companies Caroff Pneus, Carhais PL, and GGPL, and n° 10-DCC-151 of October 29, 2010, regarding the exclusive control of the company Austrasie by the Lenormant group.</w:t>
      </w:r>
    </w:p>
    <w:p>
      <w:r>
        <w:t>8 Decisions of the European Commission COMP/M.5157 of June 13, 2008 - Volkswagen/Scania, COMP/M.4336 of December 20, 2006 - Man/Scania, COMP/M.1672 of March 14, 2000 - Volvo/Scania, and COMP/M.1980 of September 1, 2009 - Volvo/Renault V.I.</w:t>
      </w:r>
    </w:p>
    <w:p>
      <w:r>
        <w:t>9 Ibid.</w:t>
      </w:r>
    </w:p>
    <w:p>
      <w:r>
        <w:t>A. MARKETS FOR THE DISTRIBUTION OF MOTOR VEHICLES</w:t>
      </w:r>
    </w:p>
    <w:p>
      <w:r>
        <w:t>18. Regarding the calculation of market shares, decision-making practice10 considers as an indicator the ratio between the sales of new vehicles made by the parties in the departments concerned by the operation and the total registrations of new vehicles recorded in these same departments by the prefectures.</w:t>
      </w:r>
    </w:p>
    <w:p>
      <w:r>
        <w:t>19. In the department of Marne where the operation involves an overlap of activities, on the various markets concerned by the operation, Bernard Participations and the target companies hold the following cumulative market shares:</w:t>
      </w:r>
    </w:p>
    <w:p>
      <w:r>
        <w:t>Department of Marne (51) Cumulative Market Shares</w:t>
        <w:br/>
        <w:t>Distribution of new passenger motor vehicles intended for a [5-10] % clientele of individuals</w:t>
        <w:br/>
        <w:t>Distribution of new passenger motor vehicles intended for a [5-10] % clientele of professionals</w:t>
        <w:br/>
        <w:t>Distribution of new commercial motor vehicles [0-5] %</w:t>
        <w:br/>
        <w:t>Distribution of used motor vehicles [0-5] %</w:t>
      </w:r>
    </w:p>
    <w:p>
      <w:r>
        <w:t>20. In a geographical area encompassing the departments of Aisne, Marne, and Ardennes, where the parties operate dealerships, Bernard Participations and the target companies hold the following cumulative market shares:</w:t>
      </w:r>
    </w:p>
    <w:p>
      <w:r>
        <w:t>Departments of Aisne (02), Marne (51), and Ardennes (08) Cumulative Market Shares</w:t>
        <w:br/>
        <w:t>Distribution of new passenger motor vehicles intended for a [5-10] % clientele of individuals</w:t>
        <w:br/>
        <w:t>Distribution of new passenger motor vehicles intended for a [5-10] % clientele of professionals</w:t>
        <w:br/>
        <w:t>Distribution of new commercial motor vehicles [0-5] %</w:t>
        <w:br/>
        <w:t>Distribution of used motor vehicles [0-5] %</w:t>
      </w:r>
    </w:p>
    <w:p>
      <w:r>
        <w:t>21. The market shares of the entity resulting from the concentration will therefore remain limited, whether in the department of Marne (51) or in a market expanded to the departments of Aisne (02) and Ardennes (08).</w:t>
      </w:r>
    </w:p>
    <w:p>
      <w:r>
        <w:t>B. MARKETS FOR THE DISTRIBUTION OF INDUSTRIAL VEHICLES</w:t>
      </w:r>
    </w:p>
    <w:p>
      <w:r>
        <w:t>22. In the retail market for industrial vehicles, the cumulative market shares of the parties are below [5-10] % regardless of the segment considered in the department of Marne (51)11.</w:t>
      </w:r>
    </w:p>
    <w:p>
      <w:r>
        <w:t>23. Furthermore, in this area, the new entity will face competition from several independent garages and authorized dealers of Renault Trucks, Volvo, Iveco, Man, Scania, or Volkswagen.</w:t>
      </w:r>
    </w:p>
    <w:p>
      <w:r>
        <w:t>C. MARKETS FOR SPARE PARTS AND MAINTENANCE AND REPAIR SERVICES</w:t>
      </w:r>
    </w:p>
    <w:p>
      <w:r>
        <w:t>24. In the retail market for spare parts and accessories and in the market for maintenance and repair services concerning motor vehicles and industrial vehicles, the parties have not been able to provide market shares.</w:t>
      </w:r>
    </w:p>
    <w:p>
      <w:r>
        <w:t>25. However, the parties continue to face competition from other authorized dealers of Renault, Mercedes, Peugeot, Nissan, Citroën, Volkswagen, Dacia, and, more generally, from numerous independent garages and repairers, as well as specialized brands such as Speedy, Norauto, Feu Vert, Midas, Centre AD, which may offer consumers identical spare parts and accessories, or of equivalent quality, and maintenance and repair services for motor vehicles similar to those distributed by the various entities.</w:t>
      </w:r>
    </w:p>
    <w:p>
      <w:r>
        <w:t>26. Given the above, the operation is not likely to harm competition.</w:t>
      </w:r>
    </w:p>
    <w:p>
      <w:r>
        <w:t>11 Unlike the markets for the distribution of motor vehicles, the parties are not active in neighboring departments to the department of Marne.</w:t>
      </w:r>
    </w:p>
    <w:p>
      <w:r>
        <w:rPr>
          <w:b/>
        </w:rPr>
        <w:t>[Pages 7–7]</w:t>
      </w:r>
    </w:p>
    <w:p>
      <w:r>
        <w:t xml:space="preserve">DECIDES  </w:t>
        <w:br/>
        <w:t xml:space="preserve">Article one: The operation notified under number 17-054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