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https://www.autoritedelaconcurrence.fr/fr/decision-de-controle-des-concentrations/relative-la-prise-de-controle-conjoint-des-societes-z-loc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22-DCC-180 of September 22, 2022  </w:t>
        <w:br/>
        <w:t xml:space="preserve">regarding the joint control acquisition of the companies Z Loc, Maxauto, and  </w:t>
        <w:br/>
        <w:t xml:space="preserve">Z Auto by the Tetrama and GBH groups  </w:t>
        <w:br/>
        <w:t xml:space="preserve">The Competition Authority,  </w:t>
        <w:br/>
        <w:t xml:space="preserve">Having regard to the complete notification file submitted to the mergers department on August 24, 2022,  </w:t>
        <w:br/>
        <w:t xml:space="preserve">concerning the joint control acquisition of the companies Z Loc, Maxauto, and Z Auto by the company  </w:t>
        <w:br/>
        <w:t xml:space="preserve">Terrassements et transports mahorais holding, a company of the Tetrama group, and the company GBH,  </w:t>
        <w:br/>
        <w:t xml:space="preserve">formalized by the transfer protocol of April 27,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companies Z Loc, Maxauto, and Z  </w:t>
        <w:br/>
        <w:t xml:space="preserve">Auto by the Tetrama and GBH groups. It constitutes a concentration operation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However, the control thresholds mentioned in point III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22-193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