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w:t>
      </w:r>
    </w:p>
    <w:p>
      <w:r>
        <w:t>Pages translated : 5</w:t>
      </w:r>
    </w:p>
    <w:p/>
    <w:p>
      <w:r>
        <w:rPr>
          <w:b/>
        </w:rPr>
        <w:t>[Pages 1–3]</w:t>
      </w:r>
    </w:p>
    <w:p>
      <w:r>
        <w:t xml:space="preserve">FRENCH REPUBLIC  </w:t>
        <w:br/>
        <w:t xml:space="preserve">Decision No. 10-DCC-111 of September 15, 2010  </w:t>
        <w:br/>
        <w:t xml:space="preserve">regarding the joint control of the companies Debehold SAS, Roumar SAS, and Nitour SARL by Mr. Tony Bontemps, via the company Tobodis, and ITM Entreprises  </w:t>
        <w:br/>
        <w:t xml:space="preserve">The Competition Authority,  </w:t>
        <w:br/>
        <w:t xml:space="preserve">Having regard to the notification file submitted in full to the concentrations service on August 11, 2010, regarding the joint control of the companies Debehold, Roumar, and Nitour by Mr. Tony Bontemps, via the company Tobodis, and ITM Entreprises, formalized by a transfer protocol dated June 22, 2010;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1. The company ITM Entreprises, 100% controlled by the Société civile des Mousquetaires, itself held by 1,330 individuals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by the "Groupement des Mousquetaires." The ITM Entreprises group achieved a worldwide turnover excluding taxes of [20-30] billion euros for the fiscal year ending December 31, 2009, of which [15-25] was in France.</w:t>
      </w:r>
    </w:p>
    <w:p>
      <w:r>
        <w:t xml:space="preserve">2. The company Debehold is a holding company whose purpose is to hold capital in Roumar, the latter operating a food-dominant retail outlet under the Intermarché brand in Montelié (26). Roumar also owns Nitour, a company that operates a food-dominant retail outlet under the Netto brand in Montelié (26). The shares of the company Debehold are held at more than [&gt;50]% by Mr. X, at more than [&gt;20]% by Mr. Tony Bontemps, and at more than [&gt;20]% by Mrs. X. The company Debehold is linked to the company ITM Entreprises by a brand contract concluded on March 10, 2004. Furthermore, Mr. and Mrs. Bontemps are signatories of the membership charter of the "Groupement des Mousquetaires." The company ITM Entreprises holds one share in the capital of the company Debehold which does not confer any special rights. Debehold holds more than [&gt;50]% of the capital of Roumar, with the X family holding less than [&lt;10] shares and ITM Entreprises holding one share which does not confer any special rights. The company Roumar entered into a brand contract with ITM Entreprises on September 23, 2003, for a duration of 10 years. Finally, the company Nitour is more than [&gt;50]% owned by Roumar, with Mr. X holding less than [&lt;10] shares and ITM Entreprises holding one share which does not confer any special rights. The company Nitour also entered into a brand contract on September 23, 2003, for a duration of 10 years. The entire Debehold group achieved a turnover excluding taxes of more than [&gt;15] million euros during the last fiscal year ending December 31, 2009.  </w:t>
        <w:br/>
        <w:t xml:space="preserve">3. The company Tobodis, currently being formed, will be a company whose purpose is to hold shares in all companies engaged in activities in the distribution sector. It will be held at more than [&gt;50]% by Mr. Tony Bontemps, with ITM Entreprises holding one share which does not confer any special rights.  </w:t>
        <w:br/>
        <w:t xml:space="preserve">4. The notified operation, formalized by a transfer protocol dated June 22, 2010, consists of the acquisition by Mr. Tony Bontemps of more than [&gt;25]% of the shares of Debehold currently held by Mr. X. These shares will ultimately be held by the company Tobodis to which Mr. Tony Bontemps will contribute the shares of Debehold that he already holds, namely more than [&gt;20]% of the capital of Debehold. Following the operation, the company Tobodis will thus hold more than [&gt;50]% of the shares of the company Debehold. Furthermore, the companies Roumar and Nitour commit, on the one hand, to adopt the standard statutes used by the Groupement des Mousquetaires, which grant ITM Entreprises a preferential share in each of the companies, and on the other hand, to sign a brand contract for a duration of 15 years with ITM Entreprises. As the authority has already considered on numerous occasions1, these provisions will give ITM Entreprises control over the companies Roumar and Nitour, jointly with that exercised by the company Tobodis.  </w:t>
        <w:br/>
        <w:t xml:space="preserve">5. Insofar as it leads to the joint control of the companies Roumar and Nitour by the ITM Entreprises group and the company Tobodis, the notified operation is indeed a concentration within the meaning of Article L. 430-1 of the Commercial Code. Given the turnover of the concerned companies, it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1 See for example decisions 10-DCC-09 and 10-DCC-19.</w:t>
      </w:r>
    </w:p>
    <w:p>
      <w:r>
        <w:t xml:space="preserve">II. Delimitation of Relevant Markets  </w:t>
        <w:br/>
        <w:t xml:space="preserve">6. According to the consistent practice of national and community competition authorities2, two categories of markets can be delineated3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7. With regard to the retail sale of everyday consumer goods, competition authorities, both community and national4, have distinguished six categories of commerce using several criteria, including the size of stores, their sales techniques, their accessibility, the nature of the service provided, and the range of products offered: (i) hypermarkets, (ii) supermarkets, (iii) specialized trade, (iv) small retail trade, (v) maxi discounters, (vi) mail order sales.  </w:t>
        <w:br/>
        <w:t xml:space="preserve">8. Supermarkets are usually defined as food-dominant stores with a sales area of less than 2,500 m² and more than 400 m². However, it should be noted that these thresholds must be used with caution and may be adapted to the specific case, given that stores whose area is close to a threshold, either below or above, may find themselves in direct competition with the facts.  </w:t>
        <w:br/>
        <w:t xml:space="preserve">9. In this case, the store operated by the company Roumar occupies an area of 2,000 m² and thus falls into the category of supermarkets. The store operated by the company Nitour, with an area of 920 m², falls into the category of maxi discounters.  </w:t>
        <w:br/>
        <w:t xml:space="preserve">2. GEOGRAPHICAL DELIMITATION  </w:t>
        <w:br/>
        <w:t xml:space="preserve">10. In its recent decisions5 regarding operations involving hypermarkets or supermarkets, the Competition Authority has recalled that two types of markets are usually distinguished, based on catchment areas:  </w:t>
        <w:br/>
        <w:t xml:space="preserve">2 See in particular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 case No. 98-A-06 of May 5, 1998, in the Casino Franprix/Leader Price case, and No. 00-A-06 of May 3, 2000, in the Carrefour/Promodès case.  </w:t>
        <w:br/>
        <w:t xml:space="preserve">3 Commission decisions in the cases M.1221 Rewe/Meinl of February 3, 1999, M.1684 Carrefour/Promodès of January 25, 2000, and M.2115 Carrefour/GB of September 28, 2000. See also the decision C.2005-98 Carrefour/Penny Market of November 10, 2005.  </w:t>
        <w:br/>
        <w:t xml:space="preserve">4 Decisions C.2008-32 Amidis SAGC of July 9, 2008, C.2007-172 Carrefour Plane Plamidis of February 13, 2008, C.2007-154 Système UVergali of December 3, 2007, C 2007-05 Carrefour Sofodis of March 26, 2007, C.2006-15 Amidis Hamon of April 14, 2006, C.2005-98 Carrefour Penny Market of November 10, 2005.  </w:t>
        <w:br/>
        <w:t>5 See in particular decisions 09-DCC-24 of July 23, 2009 Floritine/CSF; 09-DCC-10 of May 28, 2009 Frandis/Financière Perdis; 09-DCC-06 of May 20, 2009 Evolis/ITM; 09-DCC-04 of April 29, 2009 Carrefour/Noukat.</w:t>
      </w:r>
    </w:p>
    <w:p>
      <w:r>
        <w:rPr>
          <w:b/>
        </w:rPr>
        <w:t>[Pages 4–5]</w:t>
      </w:r>
    </w:p>
    <w:p>
      <w:r>
        <w:t>- a first market where the demand of consumers in an area meets the supply of hypermarkets accessible to them within less than 30 minutes by car and which are, from their point of view,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11. Other criteria may nevertheless be taken into account to assess the impact of a concentration on the competitive situation in retail distribution markets, which may lead to refining, in the specific case, the usual delimitations presented above.</w:t>
      </w:r>
    </w:p>
    <w:p>
      <w:r>
        <w:t>12. In the specific case, the analysis will focus on the market comprising supermarkets and other equivalent forms of commerce within a 15-minute driving radius around Montelier.</w:t>
      </w:r>
    </w:p>
    <w:p>
      <w:r>
        <w:t>B. UPSTREAM SUPPLY MARKETS</w:t>
      </w:r>
    </w:p>
    <w:p>
      <w:r>
        <w:t>13. With regard to supply markets, the European Commission6 has recognized the existence of markets of national dimension by major product groups, a delimitation followed by national authorities7.</w:t>
      </w:r>
    </w:p>
    <w:p>
      <w:r>
        <w:t>14. There is no need to challenge this delimitation in the context of the present operation.</w:t>
      </w:r>
    </w:p>
    <w:p>
      <w:r>
        <w:t>III. Competitive Analysis</w:t>
      </w:r>
    </w:p>
    <w:p>
      <w:r>
        <w:t>A. DOWNSTREAM DISTRIBUTION MARKET</w:t>
      </w:r>
    </w:p>
    <w:p>
      <w:r>
        <w:t>15. In the market comprising supermarkets and other equivalent forms of commerce located within a 15-minute driving radius around Montelier, the Intermarché operated by the company Roumar represents 8.9% of market shares expressed in sales area (i.e., 2,000 m² out of a total area of 22,464 m²) and the Netto operated by the company Nitour 4.1% (i.e., 920 m²). Also present in the Montelier area are two maxi-discount Netto stores located in Valence and Bourg de Peage holding 3.8% and 2.9% of market shares, respectively. Supermarkets and maxi-discount stores operated under the ITM Entreprises brand thus represent, in the 15-minute catchment area around Riantec, a combined market share of 19.7%.</w:t>
      </w:r>
    </w:p>
    <w:p>
      <w:r>
        <w:t>16. These stores face competition from two hypermarkets under the Casino group brand (46% of the sales area in the area), several supermarkets (Casino group, Système U), and several maxi-discount stores (LIDL and Casino group).</w:t>
      </w:r>
    </w:p>
    <w:p>
      <w:r>
        <w:t>6 See the Commission decisions M.1684 Carrefour/Promodès of January 25, 2000, and M.2115 Carrefour/GB of September 28, 2000.</w:t>
      </w:r>
    </w:p>
    <w:p>
      <w:r>
        <w:t>7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17. Furthermore, the notifying party indicated that the Système U group obtained on March 17, 2009, authorization to expand its supermarket in the area from 1,195 m² to 1,744 m² and to create two shops of 96 m². These new openings and expansions of retail outlets will bring the market share, calculated in sales area, of the new entity to 12.1%.</w:t>
      </w:r>
    </w:p>
    <w:p>
      <w:r>
        <w:t>18. Consequently, the operation is not likely to harm competition in the markets concerned.</w:t>
      </w:r>
    </w:p>
    <w:p>
      <w:r>
        <w:t>B. UPSTREAM SUPPLY MARKET</w:t>
      </w:r>
    </w:p>
    <w:p>
      <w:r>
        <w:t>19. With regard to upstream supply markets, the operation concerning the change of control of two stores is not likely to significantly strengthen the purchasing power of the ITM Entreprises group, across all products as well as by major product groups.</w:t>
      </w:r>
    </w:p>
    <w:p>
      <w:r>
        <w:t>20. Therefore, the operation is not likely to harm competition in either the downstream market or the upstream supply market.</w:t>
      </w:r>
    </w:p>
    <w:p>
      <w:r>
        <w:t>DECIDES</w:t>
      </w:r>
    </w:p>
    <w:p>
      <w:r>
        <w:t>Sole Article: The operation notified under number 10-0131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