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https://www.autoritedelaconcurrence.fr/fr/decision-de-controle-des-concentrations/relative-la-prise-de-controle-conjoint-du-fonds-de-0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19-DCC-230 of December 2, 2019  </w:t>
        <w:br/>
        <w:t xml:space="preserve">regarding the joint control acquisition of the business assets of Hyper U  </w:t>
        <w:br/>
        <w:t xml:space="preserve">of Vierzon and the Toquenelle cafeteria by Mr. Geoffray Gauthier and  </w:t>
        <w:br/>
        <w:t xml:space="preserve">Expan U Ouest  </w:t>
        <w:br/>
        <w:t xml:space="preserve">The Competition Authority,  </w:t>
        <w:br/>
        <w:t xml:space="preserve">Having regard to the notification file sent to the mergers department on October 24, 2019, and declared  </w:t>
        <w:br/>
        <w:t xml:space="preserve">complete on November 19, 2019, concerning the joint control acquisition of the business assets  </w:t>
        <w:br/>
        <w:t xml:space="preserve">of Hyper U of Vierzon and the Toquenelle cafeteria by Mr. Geoffray Gauthier and Expan U Ouest,  </w:t>
        <w:br/>
        <w:t xml:space="preserve">formalized by the letter of intent from Mr. Geoffray Gauthier dated July 31, 2019, and the letter  </w:t>
        <w:br/>
        <w:t xml:space="preserve">of intent from Expan U Ouest dated October 15,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supplementary elements transmitted by the notifying parties during the investigation;  </w:t>
        <w:br/>
        <w:t xml:space="preserve">Adopts the following decision:  </w:t>
        <w:br/>
        <w:t xml:space="preserve">1. The notified operation consists of the joint control acquisition by Mr. Geoffray Gauthier and  </w:t>
        <w:br/>
        <w:t xml:space="preserve">Expan U Ouest of the business assets of the Hyper U store in Vierzon, which operates a  </w:t>
        <w:br/>
        <w:t xml:space="preserve">predominantly food retail outlet of the hypermarket type under the Hyper U brand with a  </w:t>
        <w:br/>
        <w:t xml:space="preserve">surface area of 4,966 m², located in Vierzon (18), and of the Toquenelle cafeteria located in Vierzon. It  </w:t>
        <w:br/>
        <w:t xml:space="preserve">constitutes a concentration operation within the meaning of Article L. 430-1 of the Commercial Code.  </w:t>
        <w:br/>
        <w:t xml:space="preserve">Given the turnover achieved by the concerned companies, the operation does not fall  </w:t>
        <w:br/>
        <w:t xml:space="preserve">under the jurisdiction of the European Union. On the other hand, the control thresholds related to  </w:t>
        <w:br/>
        <w:t xml:space="preserve">retail trade mentioned in point II of Article L. 430-2 of the Commercial Code are exceeded. The present  </w:t>
        <w:br/>
        <w:t xml:space="preserve">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19-275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