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https://www.autoritedelaconcurrence.fr/fr/decision-de-controle-des-concentrations/relative-la-prise-de-controle-conjoint-du-fonds-de-1</w:t>
      </w:r>
    </w:p>
    <w:p>
      <w:r>
        <w:t>Pages translated : 6</w:t>
      </w:r>
    </w:p>
    <w:p/>
    <w:p>
      <w:r>
        <w:rPr>
          <w:b/>
        </w:rPr>
        <w:t>[Pages 1–3]</w:t>
      </w:r>
    </w:p>
    <w:p>
      <w:r>
        <w:t xml:space="preserve">FRENCH REPUBLIC  </w:t>
        <w:br/>
        <w:t xml:space="preserve">Decision No. 20-DCC-41 of March 13, 2020  </w:t>
        <w:br/>
        <w:t>regarding the joint control of the business under the Intermarché brand located in Lanvallay by the company Dinan Distribution alongside the Association of E. Leclerc Distributor Centers</w:t>
      </w:r>
    </w:p>
    <w:p>
      <w:r>
        <w:t xml:space="preserve">The Competition Authority,  </w:t>
        <w:br/>
        <w:t xml:space="preserve">Having regard to the notification file sent to the merger service on January 27, 2020, declared complete on February 20, 2020, regarding the joint control of the retail business under the Intermarché brand operated in Lanvallay by the company Dinan Distribution alongside the Association of E. Leclerc Distributor Centers, formalized by a letter of commitment dated December 6, 2019;  </w:t>
        <w:br/>
        <w:t xml:space="preserve">Having regard to Book IV of the Commercial Code relating to the freedom of prices and competition, and in particular its Articles L. 430-1 to L. 430-7;  </w:t>
        <w:br/>
        <w:t xml:space="preserve">Having regard to the elements submitted by the notifying parties during the investigation;  </w:t>
        <w:br/>
        <w:t>Adopts the following decision:</w:t>
      </w:r>
    </w:p>
    <w:p>
      <w:r>
        <w:t xml:space="preserve">I. The concerned companies and the operation  </w:t>
        <w:br/>
        <w:t xml:space="preserve">1. The company Dinan Distribution (hereinafter "Dinandis") is a simplified joint-stock company that operates, among other things, a hypermarket under the E. Leclerc brand located in Dinan. It is indirectly controlled by Mr. and Mrs. Cadalen, who also operate a shopping center.  </w:t>
        <w:br/>
        <w:t>2. The Association of E. Leclerc Distributor Centers (hereinafter, "ACDLec") is the body that defines the strategy of the E. Leclerc movement, to which all individuals who manage the operating companies of E. Leclerc stores are members. ACDLec determines, in particular, the conditions for approval to the E. Leclerc movement and signs the brand contracts (or "license agreements") that operators of E. Leclerc retail stores must hold.</w:t>
      </w:r>
    </w:p>
    <w:p>
      <w:r>
        <w:t xml:space="preserve">3. The target business is a supermarket currently operated under the Intermarché brand, located in Lanvallay (22), with an area of 2,250 m², and owned by the company Gelna (hereinafter the "target").  </w:t>
        <w:br/>
        <w:t xml:space="preserve">4. The transaction, formalized by a letter of commitment dated December 6, 2019, involves the acquisition by the company Dinandis of the target business.  </w:t>
        <w:br/>
        <w:t xml:space="preserve">5. The Authority has furthermore consistently considered that the obligations imposed by ACDLec on the operating companies of E. Leclerc stores, such as Dinandis, allow it to exercise decisive influence over them. This analysis of the decisive influence exercised by ACDLec is applicable to the present transaction, in view of the contractual documents binding Dinandis to ACDLec.  </w:t>
        <w:br/>
        <w:t xml:space="preserve">6. In that it results in the joint control of the target business by Dinandis alongside ACDLec, the operation constitutes a concentration within the meaning of Article L. 430-1 of the Commercial Code.  </w:t>
        <w:br/>
        <w:t xml:space="preserve">7. The concerned companies operate one or more retail stores and together achieved a total worldwide turnover of more than 75 million euros in the last financial year (ACDLec: [≥75 million] euros for the closed financial year; Dinandis: [≤75] million euros; Target: [≤75] million euros). The concerned companies achieve in France in the retail sector a turnover exceeding 15 million euros (ACDLec: [≥15 million] euros for the closed financial year; Dinandis: [≥15] million euros; Target: [≤15] million euros).  </w:t>
        <w:br/>
        <w:t>8. Given these turnover figures,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9. According to the consistent practice of national2 and European3 competition authorities, two categories of markets can be delineated in the food retail sector: on the one hand, the downstream markets, at the local level, which bring together retail trade companies and consumers for the sale of consumer goods and, on the other hand, the upstream supply markets where companies as buyers are in contact with product manufacturers, on a national scale.</w:t>
      </w:r>
    </w:p>
    <w:p>
      <w:r>
        <w:t xml:space="preserve">A. UPSTREAM SUPPLY MARKETS  </w:t>
        <w:br/>
        <w:t xml:space="preserve">1. PRODUCT MARKETS  </w:t>
        <w:br/>
        <w:t xml:space="preserve">10. Regarding supply markets, the European Commission4 identifies the existence of markets by major product groups, a delineation followed by national authorities5.  </w:t>
        <w:br/>
        <w:t>11. There is no reason to challenge this delineation in the context of the current operation.</w:t>
      </w:r>
    </w:p>
    <w:p>
      <w:r>
        <w:t xml:space="preserve">2. GEOGRAPHIC MARKETS  </w:t>
        <w:br/>
        <w:t xml:space="preserve">12. From a geographic perspective, the consistent decision-making practice of competition authorities considers that supply markets are of national dimension6.  </w:t>
        <w:br/>
        <w:t>13. There is no reason to challenge the decision-making practice in the context of the present operation.</w:t>
      </w:r>
    </w:p>
    <w:p>
      <w:r>
        <w:t xml:space="preserve">B. DOWNSTREAM MARKETS OF FOOD RETAIL  </w:t>
        <w:br/>
        <w:t xml:space="preserve">1. PRODUCT MARKETS  </w:t>
        <w:br/>
        <w:t xml:space="preserve">14. Regarding the retail sale of everyday consumer goods, the decision-making practice of the Authority7 distinguishes six categories of trade by retaining several criteria, including the size of the stores, their sales techniques, their accessibility, the nature of the service provided, and the breadth of the product ranges offered: (i) hypermarkets (with a sales area greater than 2,500 m²), (ii) supermarkets (food-dominant stores with a sales area less than 2,500 m² and greater than 400 m²), (iii) specialized trade, (iv) small retail trade (less than 400 m²), (v) maxi discounters, (vi) mail order sales.  </w:t>
        <w:br/>
        <w:t xml:space="preserve">15. In this case, the target store has a sales area of 2,250 m²: it therefore falls into the category of supermarkets. The operation will thus be analyzed in the supermarket market which includes supermarkets and equivalent forms of trade (i.e., hypermarkets, maxi discounters, and popular stores).  </w:t>
        <w:br/>
        <w:t xml:space="preserve">4 Decisions of the European Commission M.1684 of January 25, 2000 Carrefour / Promodès and M.2115 of September 28, 2000 Carrefour / GB.  </w:t>
        <w:br/>
        <w:t xml:space="preserve">5 Letters from the Minister responsible for the economy C2005-98 of November 10, 2005 Carrefour/Penny Market, C2006-15 of April 14, 2006 Carrefour/Groupe Hamon, C2007-172 of February 13, 2008 regarding the creation of the joint venture Plamidis and C2008-32 of July 9, 2008 Carrefour/SAGC, as well as decisions No. 16-DCC-53 and No. 16-DCC-211 mentioned above.  </w:t>
        <w:br/>
        <w:t xml:space="preserve">6 Decisions COMP/M.1684, No. 16-DCC-53 and No. 16-DCC-211 mentioned above.  </w:t>
        <w:br/>
        <w:t>7 See in particular the decision of the Competition Authority No. 13-DCC-90 of July 11, 2013 regarding the exclusive control of the company Monoprix by the company Casino Guichard-Perrachon and decisions No. 16-DCC-53, No. 16-DCC-211 and No. 19-DCC-63 mentioned above.</w:t>
      </w:r>
    </w:p>
    <w:p>
      <w:r>
        <w:rPr>
          <w:b/>
        </w:rPr>
        <w:t>[Pages 4–6]</w:t>
      </w:r>
    </w:p>
    <w:p>
      <w:r>
        <w:t xml:space="preserve">2. GEOGRAPHIC MARKETS  </w:t>
        <w:br/>
        <w:t xml:space="preserve">16. Competition authorities examine the effects of concentrations in the retail distribution sector predominantly focused on food at the local level, which corresponds to the catchment area associated with each store and whose extent depends on the travel time by car for the consumer (excluding Paris)8.  </w:t>
        <w:br/>
        <w:t xml:space="preserve">17. The Competition Authority considers that, depending on the size of the stores concerned and their location, competitive conditions can be assessed in two different geographic areas:  </w:t>
        <w:br/>
        <w:t xml:space="preserve">- a first market where the demand of consumers from an area meets the supply of hypermarkets they can access within less than 30 minutes by car and which are, from their perspective, substitutable with each other;  </w:t>
        <w:br/>
        <w:t xml:space="preserve">- and a second market where the demand of consumers meets the supply of supermarkets and equivalent forms of trade located within less than 15 minutes of travel time by car9. These latter forms of trade may include, in addition to supermarkets, hypermarkets located close to consumers and discount stores10.  </w:t>
        <w:br/>
        <w:t xml:space="preserve">18. The Authority considers that the competitive analysis only pertains to the second market when the target store is a supermarket, the first market being taken into account only when the target store is a hypermarket11.  </w:t>
        <w:br/>
        <w:t xml:space="preserve">19. In this case, given the characteristics of the target store, the analysis will therefore focus on the area including the target supermarket and the competing stores located within less than 15 minutes of travel time by car.  </w:t>
        <w:br/>
        <w:t xml:space="preserve">III. Competitive Analysis  </w:t>
        <w:br/>
        <w:t xml:space="preserve">A. UPSTREAM SUPPLY MARKETS  </w:t>
        <w:br/>
        <w:t xml:space="preserve">20. Regarding the upstream supply markets, the operation concerns only one store whose total purchase amount represents a marginal share12 of the national supply market.  </w:t>
        <w:br/>
        <w:t xml:space="preserve">21. The purchasing power of the E. Leclerc movement is therefore not likely to be strengthened, across all products as well as by product categories, as a result of the operation.  </w:t>
        <w:br/>
        <w:t xml:space="preserve">8 Id.  </w:t>
        <w:br/>
        <w:t xml:space="preserve">9 Id.  </w:t>
        <w:br/>
        <w:t xml:space="preserve">10 See the decisions of the Competition Authority n° 12-DCC-63, n° 13-DCC-90, n° 14-DCC-173, n° 16 DCC-53 and n° 16-DCC-211  </w:t>
        <w:br/>
        <w:t xml:space="preserve">11 Id.  </w:t>
        <w:br/>
        <w:t xml:space="preserve">12 It should be noted that the target business holds a market share of less than 1% in the upstream supply markets at the national level.  </w:t>
        <w:br/>
        <w:t xml:space="preserve">B. DOWNSTREAM DISTRIBUTION MARKETS  </w:t>
        <w:br/>
        <w:t xml:space="preserve">22. Regarding the downstream distribution market, the target store is a supermarket that will, following the operation, be operated under the E. Leclerc brand, with an area of 2,250 m² and located in Lanvallay (22).  </w:t>
        <w:br/>
        <w:t xml:space="preserve">23. The target store represents [5-10]% of the sales areas and the other points of sale of the same brand represent [20-30]% of the sales areas, resulting in a cumulative market share representing [30-40]% of the sales areas in the concerned area. Stores under the E. Leclerc brand will face competition from six different brands: Carrefour ([20-30]%), Intermarché ([10-20]%), Système U ([5-10]%), Casino ([0-5]%), Lidl ([5-10%]) and Aldi ([0-5]%).  </w:t>
        <w:br/>
        <w:t>24. Consequently, the operation is not likely to harm competition in the downstream distribution market predominantly focused on food in the Lanvallay (22) area.</w:t>
      </w:r>
    </w:p>
    <w:p>
      <w:r>
        <w:t xml:space="preserve">DECIDES  </w:t>
        <w:br/>
        <w:t xml:space="preserve">Article unique: The operation notified under number 20-019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