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https://www.autoritedelaconcurrence.fr/fr/decision-de-controle-des-concentrations/relative-la-prise-de-controle-conjoint-du-fonds-de-4</w:t>
      </w:r>
    </w:p>
    <w:p>
      <w:r>
        <w:t>Pages translated : 2</w:t>
      </w:r>
    </w:p>
    <w:p/>
    <w:p>
      <w:r>
        <w:rPr>
          <w:b/>
        </w:rPr>
        <w:t>[Pages 1–2]</w:t>
      </w:r>
    </w:p>
    <w:p>
      <w:r>
        <w:t>FRENCH REPUBLIC</w:t>
        <w:br/>
        <w:t>Decision No. 25-DCC-88 of April 15, 2025</w:t>
        <w:br/>
        <w:t>regarding the joint acquisition of control of the business assets of the</w:t>
        <w:br/>
        <w:t>company Chronodrive in Libercourt by the company Carvin Distribution –</w:t>
        <w:br/>
        <w:t>Carvidis alongside the Association of</w:t>
        <w:br/>
        <w:t>E. Leclerc Distributor Centers</w:t>
        <w:br/>
        <w:t>The Competition Authority,</w:t>
        <w:br/>
        <w:t>Having regard to the notification file sent to the mergers department on March 14, 2025, concerning the</w:t>
        <w:br/>
        <w:t>joint acquisition of control of the business assets of the company Chronodrive in Libercourt by the</w:t>
        <w:br/>
        <w:t>company Carvin Distribution – Carvidis alongside the Association of E. Leclerc Distributor Centers,</w:t>
        <w:br/>
        <w:t>formalized by a business asset transfer agreement signed on</w:t>
        <w:br/>
        <w:t>January 30, 2025;</w:t>
        <w:br/>
        <w:t>Having regard to Book IV of the Commercial Code relating to the freedom of prices and competition, and</w:t>
        <w:br/>
        <w:t>notably its Articles L. 430-1 to L. 430-7;</w:t>
        <w:br/>
        <w:t>Adopts the following decision:</w:t>
        <w:br/>
        <w:t>1. The notified operation consists of the joint acquisition of control by the company Carvin Distribution</w:t>
        <w:br/>
        <w:t>- Carvidis, alongside the Association of E. Leclerc Distributor Centers, of a standalone drive</w:t>
        <w:br/>
        <w:t>operated under the Chronodrive brand in Libercourt (62).</w:t>
        <w:br/>
        <w:t>2. This operation constitutes a concentration within the meaning of Article L. 430-1 of the Commercial Code.</w:t>
        <w:br/>
        <w:t>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3. In light of the elements of the file, the operation is not likely to harm competition in the relevant markets.</w:t>
      </w:r>
    </w:p>
    <w:p>
      <w:r>
        <w:t>DECIDES</w:t>
        <w:br/>
        <w:t>Sole Article: The operation notified under number 25-075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