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https://www.autoritedelaconcurrence.fr/fr/decision-de-controle-des-concentrations/relative-la-prise-de-controle-conjoint-du-fonds-de-commerce</w:t>
      </w:r>
    </w:p>
    <w:p>
      <w:r>
        <w:t>Pages translated : 4</w:t>
      </w:r>
    </w:p>
    <w:p/>
    <w:p>
      <w:r>
        <w:rPr>
          <w:b/>
        </w:rPr>
        <w:t>[Pages 1–3]</w:t>
      </w:r>
    </w:p>
    <w:p>
      <w:r>
        <w:t xml:space="preserve">FRENCH REPUBLIC  </w:t>
        <w:br/>
        <w:t xml:space="preserve">Decision No. 19-DCC-210 of November 21, 2019  </w:t>
        <w:br/>
        <w:t xml:space="preserve">regarding the joint control of the business of the  </w:t>
        <w:br/>
        <w:t xml:space="preserve">store under the brand Géant Casino located in La Chapelle-sur-Erdre  </w:t>
        <w:br/>
        <w:t xml:space="preserve">by Mr. Claret and by the company Coopérative U Enseigne  </w:t>
        <w:br/>
        <w:t xml:space="preserve">The Competition Authority,  </w:t>
        <w:br/>
        <w:t xml:space="preserve">Having regard to the notification file submitted in full to the merger service on October 17, 2019,  </w:t>
        <w:br/>
        <w:t xml:space="preserve">regarding the joint control of the retail business under the brand Géant Casino operated in La Chapelle-sur-Erdre by Mr. Pascal Claret and by the company Coopérative U Enseigne, formalized by a unilateral purchase promise dated September 24, 2019, and a letter of intent dated October 15, 2019;  </w:t>
        <w:br/>
        <w:t xml:space="preserve">Having regard to Book IV of the Commercial Code relating to the freedom of prices and competition, and in particular its Articles L. 430-1 to L. 430-7;  </w:t>
        <w:br/>
        <w:t xml:space="preserve">Having regard to the elements submitted by the notifying parties during the investigation;  </w:t>
        <w:br/>
        <w:t xml:space="preserve">Adopts the following decision:  </w:t>
        <w:br/>
        <w:t xml:space="preserve">I. The companies concerned and the transaction  </w:t>
        <w:br/>
        <w:t xml:space="preserve">1. Coopérative U Enseigne is a cooperative public limited company owned by the regional central cooperative companies of the Système U group and their directors, individuals. Its purpose is to purchase goods from suppliers and resell them to its independent merchant associates, each owning their store, who operate stores under the brands Hyper U, Super U, Marché U, Express U, and Utile.  </w:t>
        <w:br/>
        <w:t xml:space="preserve">2. Mr. Claret holds […] % of the capital of the company Holding PCMB which, through its various subsidiaries, operates an agricultural orchard as well as a store under the brand Super U located in Carquefou (44).  </w:t>
        <w:br/>
        <w:t>3. The target business of the transaction is a retail store with a food focus operated under the brand Géant Casino, with a sales area of 6,026 m² and including a gas station, located in La Chapelle-sur-Erdre (44) (hereinafter referred to as the "target").</w:t>
      </w:r>
    </w:p>
    <w:p>
      <w:r>
        <w:t xml:space="preserve">4. The transaction, formalized by a purchase promise dated September 24, 2019, and a letter of intent dated October 15, 2019, involves the acquisition, via the company NewCo, an acquisition vehicle created for this purpose, whose capital and voting rights will be held by two controlling shareholders, the company Holding PCMB (holding […] %) and the company Expan U Ouest (holding […] %) as well as by three non-controlling individual shareholders (holding […] % in total), of the target business. As it results in the joint control of the target store, the notified transaction constitutes a concentration within the meaning of Article L. 430-1 of the Commercial Code.  </w:t>
        <w:br/>
        <w:t xml:space="preserve">5. The companies concerned operate one or more retail stores and together achieved a total worldwide turnover of more than 75 million euros in the last financial year (Coopérative U Enseigne: [≥ 75 million] euros; PCMB: [≤ 75 million] euros; Target: [≤ 75 million] euros). The companies concerned generate in France in the retail sector a turnover exceeding 15 million euros (Coopérative U Enseigne: [≥ 15 million] euros for the closed financial year; PCMB: [≥ 15 million] euros; Target: [≥ 15 million] euros). Given these turnover figures, the transaction does not fall under the jurisdiction of the European Union. However, the control thresholds related to retail mentioned in point II of Article L. 430-2 of the Commercial Code are exceeded. This transaction is therefore subject to the provisions of Articles L. 430-3 and following of the Commercial Code relating to economic concentration.  </w:t>
        <w:br/>
        <w:t xml:space="preserve">II. Definition of the relevant markets  </w:t>
        <w:br/>
        <w:t xml:space="preserve">6. According to the consistent practice of national and European competition authorities, two categories of markets can be defined in the food retail sector: on the one hand, downstream markets, of a local dimension, which bring together retail companies and consumers for the sale of consumer goods, and on the other hand, upstream supply markets where companies as buyers are in contact with product manufacturers, of a national dimension.  </w:t>
        <w:br/>
        <w:t xml:space="preserve">A. UPSTREAM SUPPLY MARKETS  </w:t>
        <w:br/>
        <w:t xml:space="preserve">7. Regarding supply markets, competition authorities recognize the existence of national dimension markets by major product groups.  </w:t>
        <w:br/>
        <w:t xml:space="preserve">8. There is no need to challenge this definition in the context of the present transaction.  </w:t>
        <w:br/>
        <w:t xml:space="preserve">1 See in particular the decision of the Competition Authority No. 14-DCC-173 of November 21, 2014, regarding the acquisition of control of Dia France SAS by Carrefour France SAS, the decision No. 17-DCC-231 of December 27, 2017, regarding the joint control by the Zouari family alongside the Casino group of 125 food-dominant retail stores, and the aforementioned decision No. 19-DCC-73.  </w:t>
        <w:br/>
        <w:t xml:space="preserve">2 See in particular the decisions of the European Commission M.1221, Rewe / Meinl of February 3, 1999, and M.1684, Carrefour/ Promodès of January 25, 2000.  </w:t>
        <w:br/>
        <w:t>3 See in particular the decision of the European Commission M.1221 mentioned above and decision No. 11-DCC-45 of March 18, 2011, regarding the acquisition of exclusive control of the business of the Cora Desmarais hypermarket by Sodex Desmarais.</w:t>
      </w:r>
    </w:p>
    <w:p>
      <w:r>
        <w:t xml:space="preserve">B. DOWNSTREAM MARKETS OF RETAIL DISTRIBUTION WITH A FOOD FOCUS  </w:t>
        <w:br/>
        <w:t xml:space="preserve">1. PRODUCT MARKETS  </w:t>
        <w:br/>
        <w:t xml:space="preserve">9. Regarding the retail sale of everyday consumer goods, the decision-making practice of the Authority distinguishes six categories of commerce by considering several criteria, notably the size of the stores, their sales techniques, their accessibility, the nature of the service provided, and the range of products offered: (i) hypermarkets (with a sales area greater than 2,500 m²), (ii) supermarkets (food-dominant stores with a sales area less than 2,500 m² and greater than 400 m²), (iii) specialized trade, (iv) small retail trade (less than 400 m²), (v) maxi discounters, (vi) mail order sales.  </w:t>
        <w:br/>
        <w:t xml:space="preserve">10. The competition authorities consider that, while each category of stores retains its specificity, there is asymmetric competition between certain of these categories. They distinguish thus:  </w:t>
        <w:br/>
        <w:t xml:space="preserve">- a market comprising only hypermarkets;  </w:t>
        <w:br/>
        <w:t xml:space="preserve">- a market comprising supermarkets and equivalent forms of commerce (hypermarkets, hard-discount, and popular stores) excluding small retail trade (less than 400 m²).  </w:t>
        <w:br/>
        <w:t xml:space="preserve">11. There is no need to challenge these definitions in the context of the present transaction.  </w:t>
        <w:br/>
        <w:t xml:space="preserve">2. GEOGRAPHICAL MARKETS  </w:t>
        <w:br/>
        <w:t xml:space="preserve">12. In its decisions regarding transactions involving hypermarkets or supermarkets, the Competition Authority has recalled that two types of markets are usually distinguished, based on catchment areas:  </w:t>
        <w:br/>
        <w:t xml:space="preserve">- a first market where the demand of consumers from an area meets the supply of hypermarkets to which they have access within less than 30 minutes of travel by car and which are, from their point of view, substitutable for each other;  </w:t>
        <w:br/>
        <w:t xml:space="preserve">- a second market where the demand of consumers meets the supply of supermarkets and equivalent forms of commerce, located within less than 15 minutes of travel time by car. These latter forms of commerce may include, in addition to supermarkets, hypermarkets located near consumers and discount stores.  </w:t>
        <w:br/>
        <w:t xml:space="preserve">13. Other criteria may nevertheless be taken into account to assess the impact of a concentration on the competitive situation in retail distribution markets, which may lead to refining, in the specific case, the usual definitions presented above.  </w:t>
        <w:br/>
        <w:t xml:space="preserve">14. In the specific case, the target business falling into the category of hypermarkets, the competitive analysis will be conducted on the one hand, on the market including hypermarkets, supermarkets, and equivalent forms of commerce located within a 15-minute travel radius by car around the target store and, on the other hand, on the market including only  </w:t>
        <w:br/>
        <w:t xml:space="preserve">4 See in particular the decision of the Competition Authority No. 13-DCC-90 of July 11, 2013, regarding the exclusive control acquisition of Monoprix by Casino Guichard-Perrachon.  </w:t>
        <w:br/>
        <w:t xml:space="preserve">5 Id.  </w:t>
        <w:br/>
        <w:t>6 Ibid.</w:t>
      </w:r>
    </w:p>
    <w:p>
      <w:r>
        <w:rPr>
          <w:b/>
        </w:rPr>
        <w:t>[Pages 4–4]</w:t>
      </w:r>
    </w:p>
    <w:p>
      <w:r>
        <w:t>the hypermarkets within a 30-minute driving radius around the target store.</w:t>
        <w:br/>
        <w:t>III. Competitive Analysis</w:t>
        <w:br/>
        <w:t>15. In the upstream supply markets, the transaction, which concerns the change of control of a single store under a competing brand, is not likely to strengthen the purchasing power of the Système U group, across all products as well as by major product group, insofar as the target store represents a negligible weight at the national level.</w:t>
        <w:br/>
        <w:t>16. In the downstream market of food distribution including supermarkets and equivalent forms of trade located within a 15-minute driving zone, the Système U group will hold [20-30] % of the sales areas in the zone ([5-10] % for the target store).</w:t>
        <w:br/>
        <w:t>17. The stores under the Système U brand in the catchment area will, however, face competition from several other points of sale, notably under the Leclerc brand ([20-30] %), Carrefour ([20-30] %), Auchan ([5-10] %), Intermarché ([5-10] %), Lidl ([0-5] %), Casino ([0-5] %), and Aldi ([0-5] %).</w:t>
        <w:br/>
        <w:t>18. In the downstream market of food distribution including hypermarkets located within a 30-minute driving catchment area, the Système U group will hold [30-40] % of the sales areas in the zone ([0-5] % for the target store).</w:t>
        <w:br/>
        <w:t>19. The new entity will also face competition from several competing hypermarkets, under the Leclerc brand ([30-40] %), Carrefour ([10-20] %), Auchan ([10-20] %), Intermarché ([0-5] %), and Casino ([0-5] %).</w:t>
        <w:br/>
        <w:t>20. In light of the above, the transaction is not likely to harm competition in the downstream markets of food distribution in the catchment areas affected by the transaction.</w:t>
        <w:br/>
        <w:t>DECIDES</w:t>
        <w:br/>
        <w:t>Sole Article: The transaction notified under number 19-263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