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https://www.autoritedelaconcurrence.fr/fr/decision-de-controle-des-concentrations/relative-la-prise-de-controle-conjoint-du-groupe-2m-par</w:t>
      </w:r>
    </w:p>
    <w:p>
      <w:r>
        <w:t>Pages translated : 5</w:t>
      </w:r>
    </w:p>
    <w:p/>
    <w:p>
      <w:r>
        <w:rPr>
          <w:b/>
        </w:rPr>
        <w:t>[Pages 1–3]</w:t>
      </w:r>
    </w:p>
    <w:p>
      <w:r>
        <w:t xml:space="preserve">FRENCH REPUBLIC  </w:t>
        <w:br/>
        <w:t xml:space="preserve">Decision No. 15-DCC-159 of December 2, 2015  </w:t>
        <w:br/>
        <w:t xml:space="preserve">regarding the joint control of the 2M group  </w:t>
        <w:br/>
        <w:t>by Omnes Capital SAS and Mr. Pascal Masse</w:t>
      </w:r>
    </w:p>
    <w:p>
      <w:r>
        <w:t xml:space="preserve">The Competition Authority,  </w:t>
        <w:br/>
        <w:t xml:space="preserve">Having regard to the notification file submitted in full to the merger service on November 2, 2015, regarding the joint control of the 2M group by Omnes Capital SAS and Mr. Pascal Masse, formalized by a share transfer agreement dated October 29, 2015, and by a draft shareholders' agreement;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transaction  </w:t>
        <w:br/>
        <w:t xml:space="preserve">1. Omnes Capital SAS (hereinafter "Omnes") is a portfolio management company on behalf of third parties approved by the Financial Markets Authority, whose activity is the management of investment vehicles dedicated to equity investments in primarily unlisted companies. Omnes Capital is active in various fields including development and transmission capital, venture capital, and renewable energies. Omnes Capital manages Omnes Croissance and CACI Private Investors, two professional private equity funds (hereinafter "FPCI") governed by the provisions of Articles L. 214-159 and following of the Monetary and Financial Code, and acquisition vehicles for the notified transaction. [Confidential]. Omnes notably holds a stake of […] % in the capital of the company Cogepart, active in the market for road transport under controlled temperature, and over which it exercises joint control given its veto rights on certain strategic decisions.  </w:t>
        <w:br/>
        <w:t>2. Mr. Pascal Masse is a natural person whose economic activities are limited to his ownership of a real estate civil company.</w:t>
      </w:r>
    </w:p>
    <w:p>
      <w:r>
        <w:t xml:space="preserve">3. The simplified joint-stock company 2M is the parent company of the 2M group (hereinafter "2M"), specialized in the transportation of fresh products. The group primarily engages in the transportation of perishable goods under controlled temperature as well as logistics activities.  </w:t>
        <w:br/>
        <w:t xml:space="preserve">4. The notified transaction, formalized by a share transfer agreement dated October 29, 2015, involves the acquisition of 100% of the capital and voting rights of the company 2M by Pashumar, a company created for this purpose and owned by Mr. Pascal Masse ([…] % of the capital and voting rights) and by the FPCI Omnes Croissance 4 and CACI Private Investors ([…] % of the capital and voting rights). [Confidential]. As it results in the joint control of the 2M group by Omnes and Mr. Masse, the notified transaction constitutes a concentration within the meaning of Article L. 430-1 of the Commercial Code.  </w:t>
        <w:br/>
        <w:t>5. The concerned companies achieved a consolidated worldwide turnover excluding taxes of more than 150 million euros during the last closed financial year (Omnes Capital: […] euros for the financial year ended December 31, 2014; 2M: […] euros for the same financial year). Each of them achieved a turnover in France exceeding 50 million euros (Omnes Capital: […] euros for the financial year ended December 31, 2014; 2M: […] euros for the same financial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6. The parties to the transaction are simultaneously active in the market for road transport of goods under controlled temperature.  </w:t>
        <w:br/>
        <w:t xml:space="preserve">A. THE MARKETS FOR ROAD TRANSPORT SERVICES OF GOODS UNDER CONTROLLED TEMPERATURE  </w:t>
        <w:br/>
        <w:t xml:space="preserve">7. Both national and European decisional practice has distinguished the markets for the transport of goods proper, relating to services limited to the physical movement of goods or services, from the market for the organization of the transport of goods on behalf of clients according to their needs ("freight forwarding"), on which operators offer combined service offers that may include, in addition to transport itself, services such as customs clearance or warehousing. In the first market, the services are limited to the physical movement of goods and the services necessary for this physical movement. 2M is present in this market.  </w:t>
        <w:br/>
        <w:t xml:space="preserve">8. Decision-making practice considers that the different modes of freight transport are generally not substitutable for one another. The choice of a mode of transport is, indeed, constrained by certain factors such as the geographical location of the client or the nature of the goods transported. Furthermore, each mode of transport has specific characteristics related, in particular, to cost structures and the duration of transport. Thus, competition authorities distinguish between air transport, maritime transport, and land transport of goods, the latter being subdivided into transport by train, by road, by waterway, and by pipeline.  </w:t>
        <w:br/>
        <w:t xml:space="preserve">9. In this case, the parties to the transaction are simultaneously active in the market for road transport of goods.  </w:t>
        <w:br/>
        <w:t xml:space="preserve">10. Several segmentations of the road transport market for goods have been considered by decisional practice according to (i) the domestic or cross-border nature of the transport, (ii) the type of products transported (the market for the transport of hazardous materials or goods under controlled temperature have been considered as specific markets), (iii) the type of offers proposed (dedicated transport, full truck transport, transport by batch or groups of batches, and courier transport), and (iv) the mode of packaging (transport of packaged goods, transport of bulk goods).  </w:t>
        <w:br/>
        <w:t xml:space="preserve">11. In this case, the transaction results in an overlap of activity in the market for road transport of goods under controlled temperature destined for the GMS. However, 2M offers transport services to GMS stores while Cogepart primarily provides transport services for food products to end consumers.  </w:t>
        <w:br/>
        <w:t>12. 2M also offers its transport services to operators in the agri-food industry. For this market, decisional practice has considered a segmentation according to the different categories of products transported (fruits and vegetables, meat products, dairy products, seafood products, frozen and chilled products, and other products).</w:t>
      </w:r>
    </w:p>
    <w:p>
      <w:r>
        <w:rPr>
          <w:b/>
        </w:rPr>
        <w:t>[Pages 4–5]</w:t>
      </w:r>
    </w:p>
    <w:p>
      <w:r>
        <w:t>13. In this case, the parties to the transaction are simultaneously present in all the aforementioned product categories as well as in bakery, viennoiserie, and pastry.</w:t>
      </w:r>
    </w:p>
    <w:p>
      <w:r>
        <w:t>14. Conversely, the decisional practice has considered that it was not relevant to retain a segmentation between the transport services of "deep freeze" products and the transport services of fresh products under positive controlled temperature. These two types of transport use similar equipment, capable of producing both positive and negative cold: the fleet of operators transporting goods under controlled temperature consists of multi-temperature trucks that can be equipped with partitions separating compartments maintained at different temperatures. It has also been considered that a segmentation of the market for transporting goods under controlled temperature by types of supply organization was not relevant.</w:t>
      </w:r>
    </w:p>
    <w:p>
      <w:r>
        <w:t>15. In this case, the parties to the transaction are active in the domestic market for transporting goods under controlled temperature, according to the aforementioned product categories. However, the question of the exact delimitation of the markets will be left open, with the conclusions of the competitive analysis remaining unchanged regardless of the delimitations retained.</w:t>
      </w:r>
    </w:p>
    <w:p>
      <w:r>
        <w:t>B. GEOGRAPHICAL DELIMITATION OF THE MARKETS FOR ROAD TRANSPORT OF GOODS UNDER CONTROLLED TEMPERATURE</w:t>
      </w:r>
    </w:p>
    <w:p>
      <w:r>
        <w:t>16. The decisional practice considers that the markets for road transport of goods and their potential segments generally have a national dimension despite a trend towards Europeanization.</w:t>
      </w:r>
    </w:p>
    <w:p>
      <w:r>
        <w:t>17. However, the question of the exact geographical delimitation of the markets will be left open, with the conclusions of the competitive analysis remaining unchanged regardless of the delimitations retained.</w:t>
      </w:r>
    </w:p>
    <w:p>
      <w:r>
        <w:t>III. Competitive Analysis</w:t>
      </w:r>
    </w:p>
    <w:p>
      <w:r>
        <w:t>18. In the domestic market for road transport of goods under controlled temperature, which the parties have estimated to be worth 5.5 billion euros, the combined market shares of the parties to the transaction would be [0-5]% ([0-5]% for 2M and [0-5]% for Omnes) ahead of many other carriers such as STEF, STG, Le Calvez, Staf, Etoile routière, Transports Jammet, or Frévial. The parties to the transaction indicated that their combined market shares would be similar, regardless of the product category considered.</w:t>
      </w:r>
    </w:p>
    <w:p>
      <w:r>
        <w:t>19. The provision of transport services for goods under controlled temperature is ensured by more than 400 operators, present in all or part of the national territory. The transport operators with national coverage are quite few (notably STG, Olano, Martin Brower, Delanchy, and Perrenot), but many other smaller transport companies for goods under controlled temperature, which have establishments in one or more regions, also constitute a competitive constraint.</w:t>
      </w:r>
    </w:p>
    <w:p>
      <w:r>
        <w:t>20. Consequently, the transaction is not likely to harm competition in the markets for transporting goods under controlled temperature.</w:t>
      </w:r>
    </w:p>
    <w:p>
      <w:r>
        <w:t>DECIDES</w:t>
      </w:r>
    </w:p>
    <w:p>
      <w:r>
        <w:t>Sole Article: The notified transaction under number 15-184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