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https://www.autoritedelaconcurrence.fr/fr/decision-de-controle-des-concentrations/relative-la-prise-de-controle-conjoint-du-groupe-acolad-par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19-DCC-179 of September 23, 2019  </w:t>
        <w:br/>
        <w:t xml:space="preserve">regarding the joint control acquisition of the Acolad group by the company  </w:t>
        <w:br/>
        <w:t xml:space="preserve">Qualium Investissement SAS and Mr. Benjamin du Fraysseix  </w:t>
        <w:br/>
        <w:t xml:space="preserve">The Competition Authority,  </w:t>
        <w:br/>
        <w:t xml:space="preserve">Having regard to the complete notification file sent to the mergers department on August 22, 2019,  </w:t>
        <w:br/>
        <w:t xml:space="preserve">concerning the joint control acquisition of the Acolad group by the company Qualium Investissement  </w:t>
        <w:br/>
        <w:t xml:space="preserve">SAS and Mr. Benjamin du Fraysseix, and formalized by a purchase promise dated  </w:t>
        <w:br/>
        <w:t xml:space="preserve">July 31,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submitted during the investigation  </w:t>
        <w:br/>
        <w:t xml:space="preserve">Adopts the following decision:  </w:t>
        <w:br/>
        <w:t xml:space="preserve">1. The notified operation consists of the joint control acquisition, by the company Qualium  </w:t>
        <w:br/>
        <w:t xml:space="preserve">Investissement SAS and Mr. Benjamin du Fraysseix, of the company Nikita SAS and its subsidiaries,  </w:t>
        <w:br/>
        <w:t xml:space="preserve">which together form the Acolad group. The Acolad group is primarily active in  </w:t>
        <w:br/>
        <w:t xml:space="preserve">the translation services sector. The operation constitutes a concentration operation within  </w:t>
        <w:br/>
        <w:t xml:space="preserve">the meaning of Article L. 430-1 of the Commercial Code. Given the turnover generated  </w:t>
        <w:br/>
        <w:t xml:space="preserve">by the concerned companies, the operation does not fall under the jurisdiction of the  </w:t>
        <w:br/>
        <w:t xml:space="preserve">European Union. On the other hand, the control thresholds mentioned in point I of Article L. 430-2 of  </w:t>
        <w:br/>
        <w:t xml:space="preserve">the Commercial Code are exceeded. This operation is therefore subject to the provisions of  </w:t>
        <w:br/>
        <w:t xml:space="preserve">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19-223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