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https://www.autoritedelaconcurrence.fr/fr/decision-de-controle-des-concentrations/relative-la-prise-de-controle-conjoint-du-groupe-actual-et</w:t>
      </w:r>
    </w:p>
    <w:p>
      <w:r>
        <w:t>Pages translated : 2</w:t>
      </w:r>
    </w:p>
    <w:p/>
    <w:p>
      <w:r>
        <w:rPr>
          <w:b/>
        </w:rPr>
        <w:t>[Pages 1–2]</w:t>
      </w:r>
    </w:p>
    <w:p>
      <w:r>
        <w:t xml:space="preserve">FRENCH REPUBLIC  </w:t>
        <w:br/>
        <w:t xml:space="preserve">Decision No. 18-DCC-219 of December 17, 2018  </w:t>
        <w:br/>
        <w:t xml:space="preserve">regarding the joint control acquisition of the Actual group and the Leader group by Mr. Samuel Tual and Mr. Jean-Philippe Papin  </w:t>
        <w:br/>
        <w:t xml:space="preserve">The Competition Authority,  </w:t>
        <w:br/>
        <w:t xml:space="preserve">Having regard to the complete notification file submitted to the mergers department on November 14, 2018, concerning the joint control acquisition of the Actual group and the Leader group by Mr. Samuel Tual and Mr. Jean-Philippe Papin, formalized by a term sheet dated October 5, 2018;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joint control acquisition by Mr. Samuel Tual and Mr. Jean-Philippe Papin of the Actual group, previously exclusively controlled by Mr. Samuel Tual, and of the Leader group, previously exclusively controlled by Mr. Jean-Philippe Papin. It constitutes a concentration within the meaning of Article L. 430-1 of the Commercial Code. Given the turnover achieved by the concerned companies, the operation does not fall under the jurisdiction of the European Union. On the other hand, the control thresholds mentioned in I of Article L. 430-2 of the Commercial Code are exceeded. The present operation is therefore subject to the provisions of Articles L. 430-3 and following of the Commercial Code relating to economic concentration.  </w:t>
        <w:br/>
        <w:t xml:space="preserve">2. The markets concerned by the operation are those of temporary work, consistently defined by the decision-making practice of the competition authorities.  </w:t>
        <w:br/>
        <w:t xml:space="preserve">3. Regardless of the segmentations retained, the cumulative market shares of the parties are below 25%.  </w:t>
        <w:br/>
        <w:t>4. Considering the elements of the file and in particular point 384 of the guidelines of the Competition Authority relating to the control of concentrations, the operation is not likely to harm competition.</w:t>
      </w:r>
    </w:p>
    <w:p>
      <w:r>
        <w:t xml:space="preserve">DECIDES  </w:t>
        <w:br/>
        <w:t xml:space="preserve">Sole Article: The operation notified under number 18-243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