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https://www.autoritedelaconcurrence.fr/fr/decision-de-controle-des-concentrations/relative-la-prise-de-controle-conjoint-du-groupe-adit-par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19-DCC-165 of August 23, 2019  </w:t>
        <w:br/>
        <w:t xml:space="preserve">regarding the joint control acquisition of the Adit group by the companies  </w:t>
        <w:br/>
        <w:t xml:space="preserve">Parquest Capital and Bpifrance Investissement  </w:t>
        <w:br/>
        <w:t xml:space="preserve">The Competition Authority,  </w:t>
        <w:br/>
        <w:t xml:space="preserve">Having regard to the complete notification file submitted to the mergers department on August 2, 2019,  </w:t>
        <w:br/>
        <w:t xml:space="preserve">concerning the joint control acquisition of the company Financière Tess and its subsidiaries (together,  </w:t>
        <w:br/>
        <w:t xml:space="preserve">"the Adit group") by the funds Parquest Capital II FPCI and the dedicated fund Parquest Capital II  </w:t>
        <w:br/>
        <w:t xml:space="preserve">Adit FPCI, professional private equity funds managed by the company Parquest Capital and the specialized professional fund Bpifrance Capital I, managed by the company Bpifrance  </w:t>
        <w:br/>
        <w:t xml:space="preserve">Investissement, formalized by a transfer contract dated July 16,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Adit group by the companies  </w:t>
        <w:br/>
        <w:t xml:space="preserve">Parquest Capital and Bpifrance Investissement. It constitutes a concentration within the meaning of  </w:t>
        <w:br/>
        <w:t xml:space="preserve">Article L. 430-1 of the Commercial Code. Given the turnover achieved by the companies concerned, the notification thresholds of Article 1 paragraph 2 of Regulation  </w:t>
        <w:br/>
        <w:t xml:space="preserve">(EC) 139/2004 are exceeded, but since each of the concerned companies generates more than two-thirds of its turnover in the Union in France, the operation does not fall under the jurisdiction  </w:t>
        <w:br/>
        <w:t xml:space="preserve">of the European Union. On the other hand, the control thresholds mentioned in I of 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those of management consulting services to  </w:t>
        <w:br/>
        <w:t xml:space="preserve">businesses, which are consistently defined by the decision-making practice of the Competition Authority.  </w:t>
        <w:br/>
        <w:t xml:space="preserve">3. Regardless of the segmentations retained, the cumulative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19-188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