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https://www.autoritedelaconcurrence.fr/fr/decision-de-controle-des-concentrations/relative-la-prise-de-controle-conjoint-du-groupe-almerys</w:t>
      </w:r>
    </w:p>
    <w:p>
      <w:r>
        <w:t>Pages translated : 2</w:t>
      </w:r>
    </w:p>
    <w:p/>
    <w:p>
      <w:r>
        <w:rPr>
          <w:b/>
        </w:rPr>
        <w:t>[Pages 1–2]</w:t>
      </w:r>
    </w:p>
    <w:p>
      <w:r>
        <w:t xml:space="preserve">FRENCH REPUBLIC  </w:t>
        <w:br/>
        <w:t xml:space="preserve">Decision No. 22-DCC-198 of October 11, 2022  </w:t>
        <w:br/>
        <w:t xml:space="preserve">regarding the joint control acquisition of the Almerys group by  </w:t>
        <w:br/>
        <w:t xml:space="preserve">EMZ Partners and Be Invest companies  </w:t>
        <w:br/>
        <w:t xml:space="preserve">The Competition Authority,  </w:t>
        <w:br/>
        <w:t xml:space="preserve">Having regard to the complete notification file sent to the mergers department on  </w:t>
        <w:br/>
        <w:t xml:space="preserve">September 23, 2022, concerning the joint control acquisition by EMZ Partners and Be  </w:t>
        <w:br/>
        <w:t xml:space="preserve">Invest companies, via Heka Holding company, of the Almerys group, formalized by an exclusive negotiation agreement signed on July 27, 2022;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joint control acquisition by EMZ Partners and  </w:t>
        <w:br/>
        <w:t xml:space="preserve">Be Invest companies, of the Almerys group, active in the information technology services sector. It constitutes a concentration operation within the meaning of Article L. 430-1 of the Commercial Code. Given the turnover achieved by the concerned companies, the operation does not fall under the jurisdiction of the European Union. On the other hand, the retail trade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22-232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