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https://www.autoritedelaconcurrence.fr/fr/decision-de-controle-des-concentrations/relative-la-prise-de-controle-conjoint-du-groupe-alpyr-par</w:t>
      </w:r>
    </w:p>
    <w:p>
      <w:r>
        <w:t>Pages translated : 2</w:t>
      </w:r>
    </w:p>
    <w:p/>
    <w:p>
      <w:r>
        <w:rPr>
          <w:b/>
        </w:rPr>
        <w:t>[Pages 1–2]</w:t>
      </w:r>
    </w:p>
    <w:p>
      <w:r>
        <w:t xml:space="preserve">FRENCH REPUBLIC  </w:t>
        <w:br/>
        <w:t xml:space="preserve">Decision No. 17-DCC-150 of September 8, 2017  </w:t>
        <w:br/>
        <w:t xml:space="preserve">regarding the joint control acquisition of the Alpyr group by Montefiore Investment and Messrs. Pham and Sultan  </w:t>
        <w:br/>
        <w:t xml:space="preserve">The Competition Authority,  </w:t>
        <w:br/>
        <w:t xml:space="preserve">Having regard to the complete notification file submitted to the mergers department on August 23, 2017, concerning the joint control acquisition of the Alphyr group by Montefiore Investment and Messrs. Pham and Sultan, formalized by a share purchase agreement dated July 27, 2017;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Montefiore Investment and Messrs. Pham and Sultan of the Alphyr group, which is active in the sector of providing temporary work services. It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2. The markets concerned by the operation are those of providing temporary work services to businesses. These markets are consistently defined by the decision-making practice of the Competition Authority.  </w:t>
        <w:br/>
        <w:t xml:space="preserve">3. Regardless of the segmentations retained, the estimated market shares of the parties are below 2%.  </w:t>
        <w:br/>
        <w:t>4. Considering the elements of the file and in accordance with point 384 of the guidelines of the Competition Authority relating to the control of concentrations, the operation is not likely to harm competition.</w:t>
      </w:r>
    </w:p>
    <w:p>
      <w:r>
        <w:t xml:space="preserve">DECIDES  </w:t>
        <w:br/>
        <w:t xml:space="preserve">Sole Article: The operation notified under number 17-177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