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https://www.autoritedelaconcurrence.fr/fr/decision-de-controle-des-concentrations/relative-la-prise-de-controle-conjoint-du-groupe-altead-par</w:t>
      </w:r>
    </w:p>
    <w:p>
      <w:r>
        <w:t>Pages translated : 2</w:t>
      </w:r>
    </w:p>
    <w:p/>
    <w:p>
      <w:r>
        <w:rPr>
          <w:b/>
        </w:rPr>
        <w:t>[Pages 1–2]</w:t>
      </w:r>
    </w:p>
    <w:p>
      <w:r>
        <w:t xml:space="preserve">FRENCH REPUBLIC  </w:t>
        <w:br/>
        <w:t xml:space="preserve">Decision No. 16-DCC-199 of December 7, 2016  </w:t>
        <w:br/>
        <w:t xml:space="preserve">regarding the joint control acquisition of the AltéAd group by L-GAM Investments SCSp and Messrs. Torres-Garcia and Fédide  </w:t>
        <w:br/>
        <w:t xml:space="preserve">The Competition Authority,  </w:t>
        <w:br/>
        <w:t xml:space="preserve">Having regard to the complete notification file submitted to the mergers department on November 9, 2016, concerning the joint control acquisition of the AltéAd group by L-GAM Investments SCSp alongside Messrs. Torres-Garcia and Fédide, formalized by an investment agreement dated November 8,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L-GAM Investments SCSp alongside Messrs. Torres-Garcia and Fédide of the AltéAd group, primarily active in the sectors of specialized transport, lifting, handling, transfer, and industrial maintenance. Given the revenues generated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16-244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